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CA1A1" w14:textId="77777777" w:rsidR="005B4F5C" w:rsidRPr="005B4F5C" w:rsidRDefault="005B4F5C" w:rsidP="005B4F5C">
      <w:pPr>
        <w:keepNext/>
        <w:spacing w:after="480"/>
        <w:jc w:val="both"/>
        <w:rPr>
          <w:rFonts w:cstheme="minorHAnsi"/>
          <w:sz w:val="24"/>
          <w:szCs w:val="24"/>
        </w:rPr>
      </w:pPr>
      <w:r w:rsidRPr="005B4F5C">
        <w:rPr>
          <w:rFonts w:cstheme="minorHAnsi"/>
          <w:b/>
          <w:sz w:val="24"/>
          <w:szCs w:val="24"/>
        </w:rPr>
        <w:t>Założenia do projektu uchwały w sprawie negatywnego lub pozytywnego zaopiniowania</w:t>
      </w:r>
      <w:r w:rsidRPr="005B4F5C">
        <w:rPr>
          <w:rFonts w:eastAsia="Times New Roman" w:cstheme="minorHAnsi"/>
          <w:b/>
          <w:sz w:val="24"/>
          <w:szCs w:val="24"/>
        </w:rPr>
        <w:t xml:space="preserve"> Audytu krajobrazowego województwa łódzkiego</w:t>
      </w:r>
    </w:p>
    <w:p w14:paraId="4201C07C" w14:textId="77777777" w:rsidR="005B4F5C" w:rsidRPr="005B4F5C" w:rsidRDefault="005B4F5C" w:rsidP="005B4F5C">
      <w:pPr>
        <w:keepLines/>
        <w:autoSpaceDE w:val="0"/>
        <w:autoSpaceDN w:val="0"/>
        <w:adjustRightInd w:val="0"/>
        <w:spacing w:before="120" w:after="120" w:line="240" w:lineRule="auto"/>
        <w:ind w:firstLine="340"/>
        <w:jc w:val="both"/>
        <w:rPr>
          <w:rFonts w:eastAsia="Times New Roman" w:cstheme="minorHAnsi"/>
          <w:sz w:val="24"/>
          <w:szCs w:val="24"/>
          <w:lang w:eastAsia="pl-PL"/>
        </w:rPr>
      </w:pPr>
      <w:r w:rsidRPr="005B4F5C">
        <w:rPr>
          <w:rFonts w:eastAsia="Times New Roman" w:cstheme="minorHAnsi"/>
          <w:sz w:val="24"/>
          <w:szCs w:val="24"/>
          <w:lang w:eastAsia="pl-PL"/>
        </w:rPr>
        <w:t>1. Krajobraz priorytetowy Dolina Prosny (Wieruszów-Węglewice) kod obszaru 10-318.21-22 - postulaty:</w:t>
      </w:r>
    </w:p>
    <w:p w14:paraId="58421A6E"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wyłączenie z granicy krajobrazu priorytetowego następujących działek (podano ID działek):</w:t>
      </w:r>
    </w:p>
    <w:p w14:paraId="7AFCCF70"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101803_2.0011.838 (aktualnie granica –fioletowa linia - przecina działkę – patrz rysunek poniżej).</w:t>
      </w:r>
    </w:p>
    <w:p w14:paraId="4FAF07F4" w14:textId="3D8712CE"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drawing>
          <wp:inline distT="0" distB="0" distL="0" distR="0" wp14:anchorId="1E405840" wp14:editId="50D2AEC1">
            <wp:extent cx="6256020" cy="4625340"/>
            <wp:effectExtent l="0" t="0" r="0" b="3810"/>
            <wp:docPr id="143655982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6020" cy="4625340"/>
                    </a:xfrm>
                    <a:prstGeom prst="rect">
                      <a:avLst/>
                    </a:prstGeom>
                    <a:noFill/>
                    <a:ln>
                      <a:noFill/>
                    </a:ln>
                  </pic:spPr>
                </pic:pic>
              </a:graphicData>
            </a:graphic>
          </wp:inline>
        </w:drawing>
      </w:r>
    </w:p>
    <w:p w14:paraId="62F1551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05D427C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7958998D"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5DF40516"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7C8EFE06"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5BFE210A"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0D249B7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5DBDB8EC"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179860D3"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378CA31D"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0A8110F5"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4C6F95C6"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p>
    <w:p w14:paraId="08D0F6AF" w14:textId="14744B0B"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- 101803_2.0011.237/1 i 101803_2.0011.237/2 (działki zabudowane w bezpośrednim sąsiedztwie istniejącej zabudowy – patrz rysunek poniżej)</w:t>
      </w:r>
    </w:p>
    <w:p w14:paraId="53943F49" w14:textId="7D8D0C72"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drawing>
          <wp:inline distT="0" distB="0" distL="0" distR="0" wp14:anchorId="25865755" wp14:editId="1771A329">
            <wp:extent cx="5341620" cy="3954780"/>
            <wp:effectExtent l="0" t="0" r="0" b="7620"/>
            <wp:docPr id="199721696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620" cy="3954780"/>
                    </a:xfrm>
                    <a:prstGeom prst="rect">
                      <a:avLst/>
                    </a:prstGeom>
                    <a:noFill/>
                    <a:ln>
                      <a:noFill/>
                    </a:ln>
                  </pic:spPr>
                </pic:pic>
              </a:graphicData>
            </a:graphic>
          </wp:inline>
        </w:drawing>
      </w:r>
    </w:p>
    <w:p w14:paraId="794CB7B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- 101803_2.0011.799, 101803_2.0011.798/11, 101803_2.0011.798/12 (działki częściowo zabudowane lub w trakcie zabudowy w bezpośrednim sąsiedztwie istniejącej zabudowy – patrz rysunek poniżej)</w:t>
      </w:r>
    </w:p>
    <w:p w14:paraId="0F302240" w14:textId="63EE22B8"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lastRenderedPageBreak/>
        <w:drawing>
          <wp:inline distT="0" distB="0" distL="0" distR="0" wp14:anchorId="2DD127AE" wp14:editId="0110287E">
            <wp:extent cx="6256020" cy="4191000"/>
            <wp:effectExtent l="0" t="0" r="0" b="0"/>
            <wp:docPr id="1250689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020" cy="4191000"/>
                    </a:xfrm>
                    <a:prstGeom prst="rect">
                      <a:avLst/>
                    </a:prstGeom>
                    <a:noFill/>
                    <a:ln>
                      <a:noFill/>
                    </a:ln>
                  </pic:spPr>
                </pic:pic>
              </a:graphicData>
            </a:graphic>
          </wp:inline>
        </w:drawing>
      </w:r>
    </w:p>
    <w:p w14:paraId="449EAB05"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- 101803_2.0019.1380 (aktualnie granica przecina działkę  – patrz rysunek poniżej),</w:t>
      </w:r>
    </w:p>
    <w:p w14:paraId="1613BA62" w14:textId="004578A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drawing>
          <wp:inline distT="0" distB="0" distL="0" distR="0" wp14:anchorId="4BEC02D8" wp14:editId="6E3B9EBC">
            <wp:extent cx="5113020" cy="3421380"/>
            <wp:effectExtent l="0" t="0" r="0" b="7620"/>
            <wp:docPr id="59370574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3421380"/>
                    </a:xfrm>
                    <a:prstGeom prst="rect">
                      <a:avLst/>
                    </a:prstGeom>
                    <a:noFill/>
                    <a:ln>
                      <a:noFill/>
                    </a:ln>
                  </pic:spPr>
                </pic:pic>
              </a:graphicData>
            </a:graphic>
          </wp:inline>
        </w:drawing>
      </w:r>
    </w:p>
    <w:p w14:paraId="0DE1F3BB"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- 101803_2.0019.1505 (na działce zlokalizowana jest oczyszczalnia ścieków w Węglewicach ul. Cmentarna 14 – patrz rysunek poniżej).</w:t>
      </w:r>
    </w:p>
    <w:p w14:paraId="30501444" w14:textId="14B136BC"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lastRenderedPageBreak/>
        <w:drawing>
          <wp:inline distT="0" distB="0" distL="0" distR="0" wp14:anchorId="383600FF" wp14:editId="26332F7B">
            <wp:extent cx="6256020" cy="4191000"/>
            <wp:effectExtent l="0" t="0" r="0" b="0"/>
            <wp:docPr id="207217594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6020" cy="4191000"/>
                    </a:xfrm>
                    <a:prstGeom prst="rect">
                      <a:avLst/>
                    </a:prstGeom>
                    <a:noFill/>
                    <a:ln>
                      <a:noFill/>
                    </a:ln>
                  </pic:spPr>
                </pic:pic>
              </a:graphicData>
            </a:graphic>
          </wp:inline>
        </w:drawing>
      </w:r>
    </w:p>
    <w:p w14:paraId="0B264B8C"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- 101803_2.0018.362/1 (aktualnie granica przecina działkę – patrz rysunek poniżej)</w:t>
      </w:r>
    </w:p>
    <w:p w14:paraId="572D0157" w14:textId="5D8552C1"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drawing>
          <wp:inline distT="0" distB="0" distL="0" distR="0" wp14:anchorId="0AD0F907" wp14:editId="074E2F9D">
            <wp:extent cx="5036820" cy="3375660"/>
            <wp:effectExtent l="0" t="0" r="0" b="0"/>
            <wp:docPr id="16964638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20" cy="3375660"/>
                    </a:xfrm>
                    <a:prstGeom prst="rect">
                      <a:avLst/>
                    </a:prstGeom>
                    <a:noFill/>
                    <a:ln>
                      <a:noFill/>
                    </a:ln>
                  </pic:spPr>
                </pic:pic>
              </a:graphicData>
            </a:graphic>
          </wp:inline>
        </w:drawing>
      </w:r>
    </w:p>
    <w:p w14:paraId="74994B6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sz w:val="24"/>
          <w:szCs w:val="24"/>
          <w:lang w:eastAsia="pl-PL"/>
        </w:rPr>
        <w:t xml:space="preserve"> - korekta granic krajobrazu priorytetowego w taki sposób, żeby uwzględniały granice działek, w szczególności działek zabudowanych, jak również istniejące zabudowania (aktualnie granica krajobrazu przecina działki zabudowane, a nawet budynki np.  działki 101803_2.0018.758/2, 101803_2.0018.767/1 – patrz rysunek poniżej)</w:t>
      </w:r>
    </w:p>
    <w:p w14:paraId="37EDD435" w14:textId="65B9EC88" w:rsidR="005B4F5C" w:rsidRPr="005B4F5C" w:rsidRDefault="005B4F5C" w:rsidP="005B4F5C">
      <w:pPr>
        <w:autoSpaceDE w:val="0"/>
        <w:autoSpaceDN w:val="0"/>
        <w:adjustRightInd w:val="0"/>
        <w:spacing w:before="120" w:after="120" w:line="240" w:lineRule="auto"/>
        <w:ind w:firstLine="227"/>
        <w:jc w:val="both"/>
        <w:rPr>
          <w:rFonts w:eastAsia="Times New Roman" w:cstheme="minorHAnsi"/>
          <w:sz w:val="24"/>
          <w:szCs w:val="24"/>
          <w:lang w:eastAsia="pl-PL"/>
        </w:rPr>
      </w:pPr>
      <w:r w:rsidRPr="005B4F5C">
        <w:rPr>
          <w:rFonts w:eastAsia="Times New Roman" w:cstheme="minorHAnsi"/>
          <w:noProof/>
          <w:sz w:val="24"/>
          <w:szCs w:val="24"/>
          <w:lang w:eastAsia="pl-PL"/>
        </w:rPr>
        <w:lastRenderedPageBreak/>
        <w:drawing>
          <wp:inline distT="0" distB="0" distL="0" distR="0" wp14:anchorId="0DEE3279" wp14:editId="4A31709C">
            <wp:extent cx="6256020" cy="4191000"/>
            <wp:effectExtent l="0" t="0" r="0" b="0"/>
            <wp:docPr id="43743043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6020" cy="4191000"/>
                    </a:xfrm>
                    <a:prstGeom prst="rect">
                      <a:avLst/>
                    </a:prstGeom>
                    <a:noFill/>
                    <a:ln>
                      <a:noFill/>
                    </a:ln>
                  </pic:spPr>
                </pic:pic>
              </a:graphicData>
            </a:graphic>
          </wp:inline>
        </w:drawing>
      </w:r>
    </w:p>
    <w:p w14:paraId="39F2B46B"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sz w:val="24"/>
          <w:szCs w:val="24"/>
          <w:lang w:eastAsia="pl-PL"/>
        </w:rPr>
        <w:t>W zakresie Punktu II Rekomendacje i wnioski dotyczące kierunków i zasad kształtowania zabudowy, zagospodarowania i użytkowania terenów  w </w:t>
      </w:r>
      <w:proofErr w:type="spellStart"/>
      <w:r w:rsidRPr="005B4F5C">
        <w:rPr>
          <w:rFonts w:eastAsia="Times New Roman" w:cstheme="minorHAnsi"/>
          <w:sz w:val="24"/>
          <w:szCs w:val="24"/>
          <w:lang w:eastAsia="pl-PL"/>
        </w:rPr>
        <w:t>Ppkt</w:t>
      </w:r>
      <w:proofErr w:type="spellEnd"/>
      <w:r w:rsidRPr="005B4F5C">
        <w:rPr>
          <w:rFonts w:eastAsia="Times New Roman" w:cstheme="minorHAnsi"/>
          <w:sz w:val="24"/>
          <w:szCs w:val="24"/>
          <w:lang w:eastAsia="pl-PL"/>
        </w:rPr>
        <w:t xml:space="preserve">. </w:t>
      </w:r>
      <w:r w:rsidRPr="005B4F5C">
        <w:rPr>
          <w:rFonts w:eastAsia="Times New Roman" w:cstheme="minorHAnsi"/>
          <w:color w:val="000000"/>
          <w:sz w:val="24"/>
          <w:szCs w:val="24"/>
          <w:u w:val="single" w:color="000000"/>
          <w:lang w:eastAsia="pl-PL"/>
        </w:rPr>
        <w:t>2 Poziom lokalny (Gminny)</w:t>
      </w:r>
      <w:r w:rsidRPr="005B4F5C">
        <w:rPr>
          <w:rFonts w:eastAsia="Times New Roman" w:cstheme="minorHAnsi"/>
          <w:color w:val="000000"/>
          <w:sz w:val="24"/>
          <w:szCs w:val="24"/>
          <w:u w:color="000000"/>
          <w:lang w:eastAsia="pl-PL"/>
        </w:rPr>
        <w:t xml:space="preserve"> w zakresie dotyczącym zapisu: „Niewprowadzanie zabudowy oraz obiektów infrastruktury technicznej i komunikacyjnej w bezpośrednim sąsiedztwie Specjalnego Obszaru Ochrony Siedlisk Torfowiska nad Prosną PLH1000037” wnosimy o wprowadzenie w nim zmiany uwzględniającej poniższe.  Obszar Torfowisk nad Prosną zachodzi narożnikiem na zainwestowaną nieruchomość zabudowaną gminną (Szkoła Podstawowa w Osieku), oznaczoną numerem działki 799, na której jest już obiekt infrastruktury technicznej, znajduje się na nim przepompownia ścieków. Wymieniona nieruchomość tj. działka 799 jaki i droga gmina 118295E, mieszcząca się na działce numer 751  przylegają bezpośrednio  do działki numer 748 wchodzącej w skład całego zasięgu Torfowiska nad Prosną. Rekomendacja ta zablokuje gminie możliwości rozbudowy istniejącej szkoły i uniemożliwi budowę asfaltu na działce drogowej przy której usytuowano  domy jednorodzinne. Odcinek drogi gminnej o długości 327,5m.</w:t>
      </w:r>
    </w:p>
    <w:p w14:paraId="2F004B6F" w14:textId="0027D8B0"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noProof/>
          <w:sz w:val="24"/>
          <w:szCs w:val="24"/>
          <w:lang w:eastAsia="pl-PL"/>
        </w:rPr>
        <w:lastRenderedPageBreak/>
        <w:drawing>
          <wp:inline distT="0" distB="0" distL="0" distR="0" wp14:anchorId="061316E4" wp14:editId="2708300B">
            <wp:extent cx="6256020" cy="4191000"/>
            <wp:effectExtent l="0" t="0" r="0" b="0"/>
            <wp:docPr id="42689334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6020" cy="4191000"/>
                    </a:xfrm>
                    <a:prstGeom prst="rect">
                      <a:avLst/>
                    </a:prstGeom>
                    <a:noFill/>
                    <a:ln>
                      <a:noFill/>
                    </a:ln>
                  </pic:spPr>
                </pic:pic>
              </a:graphicData>
            </a:graphic>
          </wp:inline>
        </w:drawing>
      </w:r>
    </w:p>
    <w:p w14:paraId="395A9DA4"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W pkt. 13 Wytyczne odnośnie określenia walorów ekspozycji, w szczególności elementów takich przedpola ekspozycji, osie widokowe i punkty widokowe oraz zasad ich ochrony i kształtowania, w tym nakazów, zakazów </w:t>
      </w:r>
      <w:proofErr w:type="spellStart"/>
      <w:r w:rsidRPr="005B4F5C">
        <w:rPr>
          <w:rFonts w:eastAsia="Times New Roman" w:cstheme="minorHAnsi"/>
          <w:color w:val="000000"/>
          <w:sz w:val="24"/>
          <w:szCs w:val="24"/>
          <w:u w:color="000000"/>
          <w:lang w:eastAsia="pl-PL"/>
        </w:rPr>
        <w:t>dopuszczeń</w:t>
      </w:r>
      <w:proofErr w:type="spellEnd"/>
      <w:r w:rsidRPr="005B4F5C">
        <w:rPr>
          <w:rFonts w:eastAsia="Times New Roman" w:cstheme="minorHAnsi"/>
          <w:color w:val="000000"/>
          <w:sz w:val="24"/>
          <w:szCs w:val="24"/>
          <w:u w:color="000000"/>
          <w:lang w:eastAsia="pl-PL"/>
        </w:rPr>
        <w:t xml:space="preserve"> i ograniczeń w zagospodarowaniu i użytkowaniu terenów. Zapisano: „Zakaz wprowadzania elementów naruszających walory widokowe, w tym zabudowy dysharmonijnej, ograniczającej lub przesłaniającej otwarcia widokowe (m.in. w strefie zachodniego i południowego przedpola widokowego wzniesienia Bąkowej Góry)”.  Wnosimy o usunięcie błędu - Bąkowa Góra to wieś  w gminie Ręczno. W opisie syntetycznym  jako walor estetyczno-widokowy wpisano PANORAMĘ 178A-Widok Węglewice (SE-SW). Na załączniku graficznym krajobrazu priorytetowego 10.318.21-22 Dolina Prosny (Wieruszów-Węglewice) oznaczono dwoma strzałkami Punkt widokowy w miejscu położonym w obrębie Węglewice przy drodze Powiatowej DP4713E w kierunku woj. Wielkopolskiego. Wyznaczony obszar ekspozycji widokowych stanowi duży i rozległy teren o atrakcyjnym potencjale inwestycyjnym. Nie można wykluczyć konieczności wyznaczenia w przyszłości w tym obszarze nowych terenów inwestycyjnych. Zapisy zawarte w rekomendacjach dla tego obszaru w znaczącym stopniu ograniczają lub całkowicie uniemożliwiają wyznaczenie nowych terenów inwestycyjnych. Ponadto w obrębie wyznaczonego pola ekspozycji obowiązujące studium lokalizuje tereny przeznaczone pod zabudowę, dla których obowiązek sporządzania analiz  widokowych, krajobrazowych mocno skomplikuje proces uzyskiwania pozwoleń na budowę. Wprowadzenie nowych ograniczeń może skutkować znacznym spowolnieniem rozwoju gospodarczego.</w:t>
      </w:r>
    </w:p>
    <w:p w14:paraId="645E7EE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Nie budzi wątpliwości, że walory krajobrazowe opisane w projekcie audytu krajobrazowego dla przedmiotowego obszaru wymagają ochrony i zachowania dla przyszłych pokoleń. Jednakże istotnym jest, że na tym obszarze funkcjonują już takie formy ochrony przyrody  jak: Obszar Chroniony Krajobrazu „Dolina Prosny”, Obszary Natura 2000, Torfowiska nad Prosną , które są wystarczające dla ochrony walorów krajobrazowych i przyrodniczych. Jednym ze źródeł utrzymania mieszkańców Gminy Galewice objętych formami ochrony przyrody jest działalność gospodarcza, przerób drewna, rolnictwo, a także turystyka. Wprowadzanie nowych ograniczeń może skutkować zablokowaniem </w:t>
      </w:r>
      <w:r w:rsidRPr="005B4F5C">
        <w:rPr>
          <w:rFonts w:eastAsia="Times New Roman" w:cstheme="minorHAnsi"/>
          <w:color w:val="000000"/>
          <w:sz w:val="24"/>
          <w:szCs w:val="24"/>
          <w:u w:color="000000"/>
          <w:lang w:eastAsia="pl-PL"/>
        </w:rPr>
        <w:lastRenderedPageBreak/>
        <w:t>rozwoju gospodarczego. Nasza społeczność powinna mieć możliwość podejmowania aktywności na swoim pięknym przyrodniczo terenie. Zaznaczyć należy, że sporą część przedmiotowego obszaru stanowi własność prywatną.</w:t>
      </w:r>
    </w:p>
    <w:p w14:paraId="183689EF"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W pkt. 1 Wytyczne odnośnie kierunków zmian w strukturze przestrzennej oraz w przeznaczeniu terenów lub zasad ich zagospodarowania określających dopuszczalny zakres i ograniczenia tych zmian, w tym wytycznych odnośnie nakazów, zakazów, </w:t>
      </w:r>
      <w:proofErr w:type="spellStart"/>
      <w:r w:rsidRPr="005B4F5C">
        <w:rPr>
          <w:rFonts w:eastAsia="Times New Roman" w:cstheme="minorHAnsi"/>
          <w:color w:val="000000"/>
          <w:sz w:val="24"/>
          <w:szCs w:val="24"/>
          <w:u w:color="000000"/>
          <w:lang w:eastAsia="pl-PL"/>
        </w:rPr>
        <w:t>dopuszczeń</w:t>
      </w:r>
      <w:proofErr w:type="spellEnd"/>
      <w:r w:rsidRPr="005B4F5C">
        <w:rPr>
          <w:rFonts w:eastAsia="Times New Roman" w:cstheme="minorHAnsi"/>
          <w:color w:val="000000"/>
          <w:sz w:val="24"/>
          <w:szCs w:val="24"/>
          <w:u w:color="000000"/>
          <w:lang w:eastAsia="pl-PL"/>
        </w:rPr>
        <w:t xml:space="preserve"> i ograniczeń w zagospodarowaniu i użytkowaniu terenów. "Dopuszcza się tylko funkcję turystyczną i rolną". Gmina wnosi o dopisanie funkcji usługowej, prowadzenie działalności gospodarczej, produkcyjnej. W miejscowościach objętych zasięgiem Krajobrazu priorytetowego </w:t>
      </w:r>
      <w:proofErr w:type="spellStart"/>
      <w:r w:rsidRPr="005B4F5C">
        <w:rPr>
          <w:rFonts w:eastAsia="Times New Roman" w:cstheme="minorHAnsi"/>
          <w:color w:val="000000"/>
          <w:sz w:val="24"/>
          <w:szCs w:val="24"/>
          <w:u w:color="000000"/>
          <w:lang w:eastAsia="pl-PL"/>
        </w:rPr>
        <w:t>tj</w:t>
      </w:r>
      <w:proofErr w:type="spellEnd"/>
      <w:r w:rsidRPr="005B4F5C">
        <w:rPr>
          <w:rFonts w:eastAsia="Times New Roman" w:cstheme="minorHAnsi"/>
          <w:color w:val="000000"/>
          <w:sz w:val="24"/>
          <w:szCs w:val="24"/>
          <w:u w:color="000000"/>
          <w:lang w:eastAsia="pl-PL"/>
        </w:rPr>
        <w:t xml:space="preserve">: Węglewice, Spóle </w:t>
      </w:r>
      <w:proofErr w:type="spellStart"/>
      <w:r w:rsidRPr="005B4F5C">
        <w:rPr>
          <w:rFonts w:eastAsia="Times New Roman" w:cstheme="minorHAnsi"/>
          <w:color w:val="000000"/>
          <w:sz w:val="24"/>
          <w:szCs w:val="24"/>
          <w:u w:color="000000"/>
          <w:lang w:eastAsia="pl-PL"/>
        </w:rPr>
        <w:t>Załozie</w:t>
      </w:r>
      <w:proofErr w:type="spellEnd"/>
      <w:r w:rsidRPr="005B4F5C">
        <w:rPr>
          <w:rFonts w:eastAsia="Times New Roman" w:cstheme="minorHAnsi"/>
          <w:color w:val="000000"/>
          <w:sz w:val="24"/>
          <w:szCs w:val="24"/>
          <w:u w:color="000000"/>
          <w:lang w:eastAsia="pl-PL"/>
        </w:rPr>
        <w:t>, Plęsy Brzeziny istnieją małe zakłady, które będą chciały  inwestować w ich rozbudowę i rozwijać świadczone usługi. Nie chcemy też wykluczyć powstania całkiem nowych zakładów tworzących miejsca pracy.</w:t>
      </w:r>
    </w:p>
    <w:p w14:paraId="7F564387"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Rekomendacja (str.12): " W przypadku realizacji zabudowy należy dążyć do zapewnienia jak największego udziału powierzchni biologicznie czynnej. Minimalny udział procentowy powierzchni chłonnej, w tym biologicznie czynnej na poziomie 70% (dla działki mieszkaniowej) i 90% (dla działki letniskowej)" jest niezgodna z obowiązującym Studium Uwarunkowań i Kierunków Zagospodarowania Przestrzennego  gm. Galewice. W przypadku terenów zabudowy mieszkaniowej jednorodzinnej , mieszkaniowo-usługowej i usługowej nie powinien być mniejszy niż 30% dla terenów rekreacji indywidualnej - nie mniej niż 50%, dla terenów rekreacyjno-wypoczynkowych i obsługi turystyki - nie mniej niż 50%.</w:t>
      </w:r>
    </w:p>
    <w:p w14:paraId="2B698A9B"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W </w:t>
      </w:r>
      <w:proofErr w:type="spellStart"/>
      <w:r w:rsidRPr="005B4F5C">
        <w:rPr>
          <w:rFonts w:eastAsia="Times New Roman" w:cstheme="minorHAnsi"/>
          <w:color w:val="000000"/>
          <w:sz w:val="24"/>
          <w:szCs w:val="24"/>
          <w:u w:color="000000"/>
          <w:lang w:eastAsia="pl-PL"/>
        </w:rPr>
        <w:t>pkt.II</w:t>
      </w:r>
      <w:proofErr w:type="spellEnd"/>
      <w:r w:rsidRPr="005B4F5C">
        <w:rPr>
          <w:rFonts w:eastAsia="Times New Roman" w:cstheme="minorHAnsi"/>
          <w:color w:val="000000"/>
          <w:sz w:val="24"/>
          <w:szCs w:val="24"/>
          <w:u w:color="000000"/>
          <w:lang w:eastAsia="pl-PL"/>
        </w:rPr>
        <w:t xml:space="preserve"> Rekomendacje i wnioski dotyczące kierunków i zasad kształtowania zabudowy, zagospodarowania i użytkowania terenów ppkt.1 Poziom regionalny (województwa) wpisano: Kreowanie nowej zabudowy w sposób jednorodny, zwłaszcza w ośrodkach historycznych i na terenach wiejskich z uwzględnieniem lokalnych form architektonicznych, właściwych gabarytów, proporcji stylu i estetyki, z wykorzystaniem tradycyjnych lokalnych materiałów budowlanych. Tymczasem w punkcie D (str.18) lokalnych form architektonicznych w ogóle nie określono w Krajobrazie priorytetowym DOLINA PROSNY (Wieruszów -</w:t>
      </w:r>
      <w:proofErr w:type="spellStart"/>
      <w:r w:rsidRPr="005B4F5C">
        <w:rPr>
          <w:rFonts w:eastAsia="Times New Roman" w:cstheme="minorHAnsi"/>
          <w:color w:val="000000"/>
          <w:sz w:val="24"/>
          <w:szCs w:val="24"/>
          <w:u w:color="000000"/>
          <w:lang w:eastAsia="pl-PL"/>
        </w:rPr>
        <w:t>Weglewice</w:t>
      </w:r>
      <w:proofErr w:type="spellEnd"/>
      <w:r w:rsidRPr="005B4F5C">
        <w:rPr>
          <w:rFonts w:eastAsia="Times New Roman" w:cstheme="minorHAnsi"/>
          <w:color w:val="000000"/>
          <w:sz w:val="24"/>
          <w:szCs w:val="24"/>
          <w:u w:color="000000"/>
          <w:lang w:eastAsia="pl-PL"/>
        </w:rPr>
        <w:t>).</w:t>
      </w:r>
    </w:p>
    <w:p w14:paraId="0AF719D4" w14:textId="77777777" w:rsidR="005B4F5C" w:rsidRPr="005B4F5C" w:rsidRDefault="005B4F5C" w:rsidP="005B4F5C">
      <w:pPr>
        <w:keepLines/>
        <w:autoSpaceDE w:val="0"/>
        <w:autoSpaceDN w:val="0"/>
        <w:adjustRightInd w:val="0"/>
        <w:spacing w:before="120" w:after="120" w:line="240" w:lineRule="auto"/>
        <w:ind w:firstLine="340"/>
        <w:jc w:val="both"/>
        <w:rPr>
          <w:rFonts w:eastAsia="Times New Roman" w:cstheme="minorHAnsi"/>
          <w:color w:val="000000"/>
          <w:sz w:val="24"/>
          <w:szCs w:val="24"/>
          <w:lang w:eastAsia="pl-PL"/>
        </w:rPr>
      </w:pPr>
      <w:r w:rsidRPr="005B4F5C">
        <w:rPr>
          <w:rFonts w:eastAsia="Times New Roman" w:cstheme="minorHAnsi"/>
          <w:sz w:val="24"/>
          <w:szCs w:val="24"/>
          <w:lang w:eastAsia="pl-PL"/>
        </w:rPr>
        <w:t>2. </w:t>
      </w:r>
      <w:r w:rsidRPr="005B4F5C">
        <w:rPr>
          <w:rFonts w:eastAsia="Times New Roman" w:cstheme="minorHAnsi"/>
          <w:b/>
          <w:bCs/>
          <w:color w:val="000000"/>
          <w:sz w:val="24"/>
          <w:szCs w:val="24"/>
          <w:u w:color="000000"/>
          <w:lang w:eastAsia="pl-PL"/>
        </w:rPr>
        <w:t>Jednocześnie zgłaszamy uwagi dotyczące Obszaru Chronionego Krajobrazu Dolina Prosny.</w:t>
      </w:r>
    </w:p>
    <w:p w14:paraId="44A6925D"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Aktualnie trwają prace nad opracowaniem planu ogólnego gminy i zgodnie z wnioskiem Centralnego Portu Komunikacyjnego przez Obszaru Chronionego Krajobrazu Dolina Prosny planowana jest Budowa linii kolejowej nr 85 i 86 na odcinku Łódź – Sieradz Północny – Kępno – Czernica Wrocławska – Wrocław Główny” stanowiący element Ciągu Nr 9 wskazanego w rozporządzeniu Rady Ministrów z dnia 26 stycznia 2021 w sprawie wykazu Inwestycji Towarzyszących w zakresie Centralnego Portu Komunikacyjnego (dz. U. poz. 225 z </w:t>
      </w:r>
      <w:proofErr w:type="spellStart"/>
      <w:r w:rsidRPr="005B4F5C">
        <w:rPr>
          <w:rFonts w:eastAsia="Times New Roman" w:cstheme="minorHAnsi"/>
          <w:color w:val="000000"/>
          <w:sz w:val="24"/>
          <w:szCs w:val="24"/>
          <w:u w:color="000000"/>
          <w:lang w:eastAsia="pl-PL"/>
        </w:rPr>
        <w:t>późn</w:t>
      </w:r>
      <w:proofErr w:type="spellEnd"/>
      <w:r w:rsidRPr="005B4F5C">
        <w:rPr>
          <w:rFonts w:eastAsia="Times New Roman" w:cstheme="minorHAnsi"/>
          <w:color w:val="000000"/>
          <w:sz w:val="24"/>
          <w:szCs w:val="24"/>
          <w:u w:color="000000"/>
          <w:lang w:eastAsia="pl-PL"/>
        </w:rPr>
        <w:t xml:space="preserve">. zm.). W związku z planowaną inwestycją, która w znaczący sposób będzie ingerować w Obszaru Chronionego Krajobrazu Doliny Prosny, zasadne jest poddanie ponownej analizie przebiegu granic przedmiotowego Obszaru oraz jego zmniejszenie z powodu bezpowrotnej utraty wyróżniającego się krajobrazu o zróżnicowanych ekosystemach i możliwości zaspokajania potrzeb związanych z turystyką i wypoczynkiem, zgodnie z art. 23 ust. 2 ustawy z dnia 16 kwietnia 2004 r. o ochronie przyrody (Dz. U. z 2024 poz. 1478). Dotychczasowa linia przebiegu granicy obszaru nie znalazła w pełni odniesienia do faktycznych powiązań przyrodniczych i krajobrazowych względem doliny rzeki Prosny, obszar chroniony uwzględnił tereny, które nie posiadają powiązania faktycznego z doliną rzeki Prosny. Mowa tutaj o terenach w obrębie Rybka, Przybyłów, Żelazo, czyli części północnej obszaru , zwarty kompleksy leśny o tak  znacznym oddaleniu od faktycznej doliny. Planowana lokalizacja obiektu liniowego (szybka kolej) wpłynie negatywnie  na zachowanie spójności struktury funkcjonalno-przestrzennej krajobrazu, spowoduje przecinanie i fragmentację tego obszaru. Wprowadzone zapisy i rekomendacje w dokumencie audytu mogą w negatywny sposób wpłynąć na dalszy przyjęty kierunek rozwoju gminy Galewice. Ponadto, ograniczenia wskazane w uchwale Nr XXX/398/16 Sejmiku Województwa Łódzkiego z dnia </w:t>
      </w:r>
      <w:r w:rsidRPr="005B4F5C">
        <w:rPr>
          <w:rFonts w:eastAsia="Times New Roman" w:cstheme="minorHAnsi"/>
          <w:color w:val="000000"/>
          <w:sz w:val="24"/>
          <w:szCs w:val="24"/>
          <w:u w:color="000000"/>
          <w:lang w:eastAsia="pl-PL"/>
        </w:rPr>
        <w:lastRenderedPageBreak/>
        <w:t>29 listopada 2016 r. w sprawie wyznaczenia Obszaru Chronionego Krajobrazu Doliny Prosny, w znaczący sposób ograniczają możliwości rozwojowe gminy wynikających z ustaleń studium uwarunkowań i kierunków zagospodarowania przestrzenne gminy  w stopniu nieproporcjonalnym do wartości jakie obszar chronionego krajobrazu ma chronić.</w:t>
      </w:r>
    </w:p>
    <w:p w14:paraId="4549C40A"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Mające na uwadze powyższe, zgłaszamy postulat zmniejszenia Obszaru Chronionego Krajobrazu Doliny Prosny oraz wprowadzenia zakazu budowy nowych obiektów budowlanych w pasie szerokości 20 m od linii brzegowej rzek, a nie jak jest to w chwili obecnej 100 m. Właściciele nieruchomości położonych przy Strudze Kraszewickiej biegnącej przez miejscowość Foluszczyki, Ciupki w obrębie geodezyjnym Foluszczyki, nie mogą zrealizować swoich planów w zakresie budowy mieszkaniowej czy też usługowej – np. rozpoczęcie przy rolniczej działalności gospodarczej na tych działkach ze względu na powyższy zakaz. Dlatego wnioskujemy w tym obszarze przy w/w strudze o zmniejszenie szerokości pasa ze 100 do 20 metrów. W uchwale Nr XXX/398/16 Sejmiku Województwa Łódzkiego z dnia 29 listopada 2016r. takie zmniejszenie uzyskały gminy: Gmina Wieruszów dla działek w obrębie miejscowości </w:t>
      </w:r>
      <w:proofErr w:type="spellStart"/>
      <w:r w:rsidRPr="005B4F5C">
        <w:rPr>
          <w:rFonts w:eastAsia="Times New Roman" w:cstheme="minorHAnsi"/>
          <w:color w:val="000000"/>
          <w:sz w:val="24"/>
          <w:szCs w:val="24"/>
          <w:u w:color="000000"/>
          <w:lang w:eastAsia="pl-PL"/>
        </w:rPr>
        <w:t>Mesznary</w:t>
      </w:r>
      <w:proofErr w:type="spellEnd"/>
      <w:r w:rsidRPr="005B4F5C">
        <w:rPr>
          <w:rFonts w:eastAsia="Times New Roman" w:cstheme="minorHAnsi"/>
          <w:color w:val="000000"/>
          <w:sz w:val="24"/>
          <w:szCs w:val="24"/>
          <w:u w:color="000000"/>
          <w:lang w:eastAsia="pl-PL"/>
        </w:rPr>
        <w:t xml:space="preserve"> oraz w obrębie klatka; Gmina Łubnice 50 m od linii brzegowej rzeki Prosny i rzeki Pyszny, Gmina Mokrsko 20 m od linii brzegowej rzeki Ożarki; Gmina Skomlin 50 m od linii brzegowej rzeki Prosny.</w:t>
      </w:r>
    </w:p>
    <w:p w14:paraId="39F28DB3"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Wykluczenie możliwości lokalizowania zabudowy w pasie o szerokości 100 m od linii brzegowej rzeki i jezior oraz innych naturalnych i sztucznych zbiorników wodnych jest znaczącym ograniczeniem. Utrudni to lub uniemożliwi lokalizowanie nowych inwestycji co w konsekwencji wpłynie na rozwój gminy. Zgodnie z Uchwałą Nr XXII/117/12 z dnia 20 listopada 2012r. w sprawie studium uwarunkowań i kierunków zagospodarowania przestrzennego Gminy Galewice dostępnym na stronie BIP (tj. zał. graficzny nr 3) na terenie gminy planuje się budowę zbiornika „OKOŃ”  na Strudze Węglewskiej w obrębie geodezyjnym Węglewice. Gmina wykupiła grunty działki nr: 2572, 2639, 2643, 2644, 2567, 2641, 2642, 2880, 2645, 2646, 2902, 2647, 2648, 2663, 2571, 2606/2, 2649, 2650, 2791/2, 2792/1, 2659, 2660, 2577, 2661, 2662, 2575, 2654, 2655, 2656, 2657, 2658, 2583, 2574, 2573, 2589, 2605, 2678, 2688, 2692, 2693, 2664, 2599, 2582, 2669, 2670, 2584, 2671, 2672, 2579, 2580, 2581, 2667,2668, 2578, 2566, 2587, 2606/1, 2791/1, 2792/3, 2792/4, 2597, 2861/1, 2861/3, 2690, 2696, 2591/1, 2591/2, 2665, 2666, 2676, 2681, 2686, 2682, 2685, 2697, 2790, 2795, 2694, 2695, 2593, 2862/2, 3299, 3301, 2883, 2910, 2881, 2882, 2866, 2867, 2868, 2869, 2870, 2884, 2889, 2898/1, 2898/2, 2596, 2873, 2874, 2875, 2876, 2794/2, 2896, 2585,2673, 2674, 2890, 2586, 2675, 2909, 2922, 2899/2, 2895/2, 2888/2, 2897/3, 2897/4, 2907, 2900/2, 2864, 2865, 2911/2, 2914/2, 2885, 2908, 2901/2, 2913/2, 2912, 2576, 2592, 2595, 2568, 2569, 2570, 2640, 2651, 2653, 2588, 2677, 2679, 2590, 2598, 2680, 2687, 2682, 2684, 3300, 3302, 2861/2, 2861/4, 2871, 2872, 2879, 2878 w obrębie geodezyjnym Węglewice oraz działki nr 1, 5, 47/1, 44/1, 50/1, 54/1, 62/8, 67/3, 80/1, 83/1, 62/6, 71/3, 76/3, 88/2 w obrębie geodezyjnym Jeziorna. Powierzchnia samego lustra wody wyniesie 37,00 hektarów. Tereny przy zbiorniku stanowiące własność prywatną jak i gminna również planuje się do zainwestowania pod rekreacje, wypoczynek  i pod rozwój turystyki. Na ternie innych gmin w woj. łódzkim np. nad Zbiornikiem Jeziorsko istnieje zabudowa w innej odległości niż rekomendowana w opiniowanym projekcie  Audytu krajobrazowego. Zapisy projektu Audytu krajobrazowego pozbawić mogą Gminę Galewice możliwości zagospodarowania terenów rekreacyjnych, które będą stanowiły podstawę turystyczną oferty gminy Galewice. Co wpłynie na brak wpływów podatkowych, spowolnienie rozwoju infrastruktury oraz spowolnienie gospodarcze gminy. Podpisano dokument z Państwowym Gospodarstwem Wodnym Wody Polskie dotyczy podjęcia współpracy w zakresie realizacji budowy zbiornika retencyjnego. Istotnym problemem jest też wykluczenie możliwości lokalizacji obiektów usługowych (handlowych i gastronomicznych) o charakterze sezonowym i nie trwałej formie (namioty, przyczepy, wiaty, za wyjątkiem służących do krótkotrwałej obsługi imprez i wydarzeń ( z zaleceniem ich estetyzacji i ujednolicenia). Postuluję dodanie jako dopuszczalnych </w:t>
      </w:r>
      <w:r w:rsidRPr="005B4F5C">
        <w:rPr>
          <w:rFonts w:eastAsia="Times New Roman" w:cstheme="minorHAnsi"/>
          <w:color w:val="000000"/>
          <w:sz w:val="24"/>
          <w:szCs w:val="24"/>
          <w:u w:color="000000"/>
          <w:lang w:eastAsia="pl-PL"/>
        </w:rPr>
        <w:lastRenderedPageBreak/>
        <w:t>wyjątków obiektów usług gastronomicznych oraz wszelkich obiektów związanych  z terenem przy planowanym zbiorniku OKOŃ.</w:t>
      </w:r>
    </w:p>
    <w:p w14:paraId="2932CC3E" w14:textId="77777777" w:rsidR="005B4F5C" w:rsidRPr="005B4F5C" w:rsidRDefault="005B4F5C" w:rsidP="005B4F5C">
      <w:pPr>
        <w:keepLines/>
        <w:autoSpaceDE w:val="0"/>
        <w:autoSpaceDN w:val="0"/>
        <w:adjustRightInd w:val="0"/>
        <w:spacing w:before="120" w:after="120" w:line="240" w:lineRule="auto"/>
        <w:ind w:firstLine="340"/>
        <w:jc w:val="both"/>
        <w:rPr>
          <w:rFonts w:eastAsia="Times New Roman" w:cstheme="minorHAnsi"/>
          <w:color w:val="000000"/>
          <w:sz w:val="24"/>
          <w:szCs w:val="24"/>
          <w:lang w:eastAsia="pl-PL"/>
        </w:rPr>
      </w:pPr>
      <w:r w:rsidRPr="005B4F5C">
        <w:rPr>
          <w:rFonts w:eastAsia="Times New Roman" w:cstheme="minorHAnsi"/>
          <w:sz w:val="24"/>
          <w:szCs w:val="24"/>
          <w:lang w:eastAsia="pl-PL"/>
        </w:rPr>
        <w:t>3. </w:t>
      </w:r>
      <w:r w:rsidRPr="005B4F5C">
        <w:rPr>
          <w:rFonts w:eastAsia="Times New Roman" w:cstheme="minorHAnsi"/>
          <w:b/>
          <w:bCs/>
          <w:color w:val="000000"/>
          <w:sz w:val="24"/>
          <w:szCs w:val="24"/>
          <w:u w:color="000000"/>
          <w:lang w:eastAsia="pl-PL"/>
        </w:rPr>
        <w:t>Krajobraz priorytetowy Węglewice - krajobraz wiejski  kod obszaru 10-318.21-33 - postulaty:</w:t>
      </w:r>
    </w:p>
    <w:p w14:paraId="1CD2338D"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·ograniczenie zasad kształtowania form budynków, z uwzględnieniem lokalnych form architektonicznych zabudowy wyłącznie do zabudowy o funkcji mieszkaniowej;</w:t>
      </w:r>
    </w:p>
    <w:p w14:paraId="47107792"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·ograniczenie zakazu stosowania ogrodzeń z prefabrykatów płyt betonowych wyłącznie od strony dróg publicznych.</w:t>
      </w:r>
    </w:p>
    <w:p w14:paraId="5DC80397"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Uwagi do treści zawartych w rozdziale D (str.17) Pkt. I „Zestawienie lokalnych form architektonicznych zabudowy”  w zakresie charakterystyki obszarów zabudowanych wyróżniających się lokalną formą architektoniczną. Brak jest spójności obszarowej co do wytypowanych obiektów będących podstawą wyznaczenia LFA zabudowy, pod względem ich architektury.  Z wytypowanych budynków przy ulicy Kopernika 23; 25, 29, i ulicy Zachodniej nr: 6, 8, opisanych w obrębie jednej kary o typie zabudowy – dom drewniany, są tylko dwa budynki drewniane </w:t>
      </w:r>
      <w:proofErr w:type="spellStart"/>
      <w:r w:rsidRPr="005B4F5C">
        <w:rPr>
          <w:rFonts w:eastAsia="Times New Roman" w:cstheme="minorHAnsi"/>
          <w:color w:val="000000"/>
          <w:sz w:val="24"/>
          <w:szCs w:val="24"/>
          <w:u w:color="000000"/>
          <w:lang w:eastAsia="pl-PL"/>
        </w:rPr>
        <w:t>tj</w:t>
      </w:r>
      <w:proofErr w:type="spellEnd"/>
      <w:r w:rsidRPr="005B4F5C">
        <w:rPr>
          <w:rFonts w:eastAsia="Times New Roman" w:cstheme="minorHAnsi"/>
          <w:color w:val="000000"/>
          <w:sz w:val="24"/>
          <w:szCs w:val="24"/>
          <w:u w:color="000000"/>
          <w:lang w:eastAsia="pl-PL"/>
        </w:rPr>
        <w:t xml:space="preserve">; przy drodze głównej ul. Kopernika nr 29 i przy ul. Zachodniej 6 (w załączeniu dokumentacja zdjęciowa). Stan zabudowań przedstawiony w  </w:t>
      </w:r>
      <w:proofErr w:type="spellStart"/>
      <w:r w:rsidRPr="005B4F5C">
        <w:rPr>
          <w:rFonts w:eastAsia="Times New Roman" w:cstheme="minorHAnsi"/>
          <w:color w:val="000000"/>
          <w:sz w:val="24"/>
          <w:szCs w:val="24"/>
          <w:u w:color="000000"/>
          <w:lang w:eastAsia="pl-PL"/>
        </w:rPr>
        <w:t>Googlemaps</w:t>
      </w:r>
      <w:proofErr w:type="spellEnd"/>
      <w:r w:rsidRPr="005B4F5C">
        <w:rPr>
          <w:rFonts w:eastAsia="Times New Roman" w:cstheme="minorHAnsi"/>
          <w:color w:val="000000"/>
          <w:sz w:val="24"/>
          <w:szCs w:val="24"/>
          <w:u w:color="000000"/>
          <w:lang w:eastAsia="pl-PL"/>
        </w:rPr>
        <w:t xml:space="preserve"> jest nieaktualny sprzed wielu lat. Ponadto żaden z budynków wytypowanych o numerach porządkowych  23, 25, 29 oraz 6 i 8  nie jest wpisany do Gminnej Ewidencji Zabytków, a jest to kryterium brane pod uwagę przy typowaniu LFA zabudowy. Układ ruralistyczny Węglewic nie jest wpisany do Rejestru Zabytków.</w:t>
      </w:r>
    </w:p>
    <w:p w14:paraId="5D3E92BE"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Zdjęcie: ul. Kopernika 23 i 25</w:t>
      </w:r>
    </w:p>
    <w:p w14:paraId="44906986" w14:textId="7D5A3B3E"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noProof/>
          <w:sz w:val="24"/>
          <w:szCs w:val="24"/>
          <w:lang w:eastAsia="pl-PL"/>
        </w:rPr>
        <w:drawing>
          <wp:inline distT="0" distB="0" distL="0" distR="0" wp14:anchorId="2561CE85" wp14:editId="6C546958">
            <wp:extent cx="6256020" cy="3535680"/>
            <wp:effectExtent l="0" t="0" r="0" b="7620"/>
            <wp:docPr id="3661249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6020" cy="3535680"/>
                    </a:xfrm>
                    <a:prstGeom prst="rect">
                      <a:avLst/>
                    </a:prstGeom>
                    <a:noFill/>
                    <a:ln>
                      <a:noFill/>
                    </a:ln>
                  </pic:spPr>
                </pic:pic>
              </a:graphicData>
            </a:graphic>
          </wp:inline>
        </w:drawing>
      </w:r>
    </w:p>
    <w:p w14:paraId="732D2619"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ul. Zachodnia 8</w:t>
      </w:r>
    </w:p>
    <w:p w14:paraId="261B86EB" w14:textId="1CCCF9D2"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noProof/>
          <w:sz w:val="24"/>
          <w:szCs w:val="24"/>
          <w:lang w:eastAsia="pl-PL"/>
        </w:rPr>
        <w:lastRenderedPageBreak/>
        <w:drawing>
          <wp:inline distT="0" distB="0" distL="0" distR="0" wp14:anchorId="343C85CE" wp14:editId="3C22C42E">
            <wp:extent cx="6256020" cy="3535680"/>
            <wp:effectExtent l="0" t="0" r="0" b="7620"/>
            <wp:docPr id="6374697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6020" cy="3535680"/>
                    </a:xfrm>
                    <a:prstGeom prst="rect">
                      <a:avLst/>
                    </a:prstGeom>
                    <a:noFill/>
                    <a:ln>
                      <a:noFill/>
                    </a:ln>
                  </pic:spPr>
                </pic:pic>
              </a:graphicData>
            </a:graphic>
          </wp:inline>
        </w:drawing>
      </w:r>
    </w:p>
    <w:p w14:paraId="0913A656"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Drewniany budynek- ul. Zachodnia 6</w:t>
      </w:r>
    </w:p>
    <w:p w14:paraId="51E0F739" w14:textId="06B03B44"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noProof/>
          <w:sz w:val="24"/>
          <w:szCs w:val="24"/>
          <w:lang w:eastAsia="pl-PL"/>
        </w:rPr>
        <w:drawing>
          <wp:inline distT="0" distB="0" distL="0" distR="0" wp14:anchorId="10E6003D" wp14:editId="5F66D2C2">
            <wp:extent cx="6256020" cy="3535680"/>
            <wp:effectExtent l="0" t="0" r="0" b="7620"/>
            <wp:docPr id="11353245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6020" cy="3535680"/>
                    </a:xfrm>
                    <a:prstGeom prst="rect">
                      <a:avLst/>
                    </a:prstGeom>
                    <a:noFill/>
                    <a:ln>
                      <a:noFill/>
                    </a:ln>
                  </pic:spPr>
                </pic:pic>
              </a:graphicData>
            </a:graphic>
          </wp:inline>
        </w:drawing>
      </w:r>
    </w:p>
    <w:p w14:paraId="3E793893"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r w:rsidRPr="005B4F5C">
        <w:rPr>
          <w:rFonts w:eastAsia="Times New Roman" w:cstheme="minorHAnsi"/>
          <w:color w:val="000000"/>
          <w:sz w:val="24"/>
          <w:szCs w:val="24"/>
          <w:u w:color="000000"/>
          <w:lang w:eastAsia="pl-PL"/>
        </w:rPr>
        <w:t xml:space="preserve">Uwaga do </w:t>
      </w:r>
      <w:proofErr w:type="spellStart"/>
      <w:r w:rsidRPr="005B4F5C">
        <w:rPr>
          <w:rFonts w:eastAsia="Times New Roman" w:cstheme="minorHAnsi"/>
          <w:color w:val="000000"/>
          <w:sz w:val="24"/>
          <w:szCs w:val="24"/>
          <w:u w:color="000000"/>
          <w:lang w:eastAsia="pl-PL"/>
        </w:rPr>
        <w:t>ppkt</w:t>
      </w:r>
      <w:proofErr w:type="spellEnd"/>
      <w:r w:rsidRPr="005B4F5C">
        <w:rPr>
          <w:rFonts w:eastAsia="Times New Roman" w:cstheme="minorHAnsi"/>
          <w:color w:val="000000"/>
          <w:sz w:val="24"/>
          <w:szCs w:val="24"/>
          <w:u w:color="000000"/>
          <w:lang w:eastAsia="pl-PL"/>
        </w:rPr>
        <w:t xml:space="preserve">. 8 (str.12)  Charakterystyczne cechy elewacji budynków, z uwzględnieniem lokalnych form architektonicznych zabudowy. „Lokalizowanie urządzeń technicznych (m.in. panele fotowoltaiczne, anteny, klimatyzatory, urządzenia wentylacyjne) w sposób niezakłócający odbioru wizualnego z przestrzeni publicznych. Proponuje o zmodyfikować zapis na: rekomenduje się  lokalizowanie urządzeń technicznych (m.in. panele fotowoltaiczne, anteny, klimatyzatory, urządzenia wentylacyjne) w sposób niezakłócający odbioru wizualnego z przestrzeni publicznych; w przypadku braku innych możliwości technicznych dopuszcza się lokalizację takich urządzeń na elewacjach frontowych (dotyczy również </w:t>
      </w:r>
      <w:proofErr w:type="spellStart"/>
      <w:r w:rsidRPr="005B4F5C">
        <w:rPr>
          <w:rFonts w:eastAsia="Times New Roman" w:cstheme="minorHAnsi"/>
          <w:color w:val="000000"/>
          <w:sz w:val="24"/>
          <w:szCs w:val="24"/>
          <w:u w:color="000000"/>
          <w:lang w:eastAsia="pl-PL"/>
        </w:rPr>
        <w:t>fotowolaiki</w:t>
      </w:r>
      <w:proofErr w:type="spellEnd"/>
      <w:r w:rsidRPr="005B4F5C">
        <w:rPr>
          <w:rFonts w:eastAsia="Times New Roman" w:cstheme="minorHAnsi"/>
          <w:color w:val="000000"/>
          <w:sz w:val="24"/>
          <w:szCs w:val="24"/>
          <w:u w:color="000000"/>
          <w:lang w:eastAsia="pl-PL"/>
        </w:rPr>
        <w:t xml:space="preserve">), utrzymuje się  istniejące urządzenia techniczne na </w:t>
      </w:r>
      <w:r w:rsidRPr="005B4F5C">
        <w:rPr>
          <w:rFonts w:eastAsia="Times New Roman" w:cstheme="minorHAnsi"/>
          <w:color w:val="000000"/>
          <w:sz w:val="24"/>
          <w:szCs w:val="24"/>
          <w:u w:color="000000"/>
          <w:lang w:eastAsia="pl-PL"/>
        </w:rPr>
        <w:lastRenderedPageBreak/>
        <w:t>elewacjach frontowych. Zapis w tej formie wskazuje najbardziej pożądaną formę realizacji urządzeń technicznych na elewacjach frontowych , pozwalając jednocześnie ( w razie zaistnienia takiej potrzeby ) na odstępstwa i utrzymanie istniejących urządzeń.</w:t>
      </w:r>
    </w:p>
    <w:p w14:paraId="4B7C2456" w14:textId="77777777" w:rsidR="005B4F5C" w:rsidRPr="005B4F5C" w:rsidRDefault="005B4F5C" w:rsidP="005B4F5C">
      <w:pPr>
        <w:autoSpaceDE w:val="0"/>
        <w:autoSpaceDN w:val="0"/>
        <w:adjustRightInd w:val="0"/>
        <w:spacing w:before="120" w:after="120" w:line="240" w:lineRule="auto"/>
        <w:ind w:firstLine="227"/>
        <w:jc w:val="both"/>
        <w:rPr>
          <w:rFonts w:eastAsia="Times New Roman" w:cstheme="minorHAnsi"/>
          <w:color w:val="000000"/>
          <w:sz w:val="24"/>
          <w:szCs w:val="24"/>
          <w:lang w:eastAsia="pl-PL"/>
        </w:rPr>
      </w:pPr>
      <w:proofErr w:type="spellStart"/>
      <w:r w:rsidRPr="005B4F5C">
        <w:rPr>
          <w:rFonts w:eastAsia="Times New Roman" w:cstheme="minorHAnsi"/>
          <w:color w:val="000000"/>
          <w:sz w:val="24"/>
          <w:szCs w:val="24"/>
          <w:u w:color="000000"/>
          <w:lang w:eastAsia="pl-PL"/>
        </w:rPr>
        <w:t>Ppkt</w:t>
      </w:r>
      <w:proofErr w:type="spellEnd"/>
      <w:r w:rsidRPr="005B4F5C">
        <w:rPr>
          <w:rFonts w:eastAsia="Times New Roman" w:cstheme="minorHAnsi"/>
          <w:color w:val="000000"/>
          <w:sz w:val="24"/>
          <w:szCs w:val="24"/>
          <w:u w:color="000000"/>
          <w:lang w:eastAsia="pl-PL"/>
        </w:rPr>
        <w:t>. 10 (str.12) Zasady i warunki dotyczące sytuowania obiektów małej architektury, tablic reklamowych i urządzeń reklamowych oraz ogrodzeń, ich gabarytów, standardów jakościowych oraz rodzaje materiałów budowlanych, z uwzględnieniem lokalnych form architektonicznych, w tym dla przestrzeni dostępnych publicznie. Rekomendację: „Ograniczenie przestrzeni umieszczania reklam i urządzeń reklamowych do ściśle określonych partii budynku i ogrodzenia, z wykluczeniem stosowania w sposób przesłaniający elementy konstrukcyjne i zdobnicze budynku lub zakłócający kompozycję urządzenia” należ usunąć. Proponujemy wprowadzić zapis: dopuszcza się wolnostojące tablice reklamowe i banery na terenie posesji, na której funkcjonuje reklamowany podmiot gospodarczy, świadczona jest reklamowana usługa czy produkowany jest reklamowany produkt. Uzasadnienie – stwarza możliwość realizacji reklam wolnostojących w sytuacji gdy mieszkańcy nie będą mieli możliwości realizacji tablic reklamowych i banerów w części parterowej budynków lub w sytuacji gdy budynek jest cofnięty w głąb działki. Wnosimy również o usunięcie Zakazu stosowania ogrodzeń z prefabrykowanych płyt betonowych. Zapis ogranicza możliwości mieszkańców w sposobie realizacji nowych ogrodzeń i utrzymania istniejących.</w:t>
      </w:r>
    </w:p>
    <w:p w14:paraId="23AA0C58" w14:textId="77777777" w:rsidR="005B4F5C" w:rsidRPr="005B4F5C" w:rsidRDefault="005B4F5C" w:rsidP="005B4F5C">
      <w:pPr>
        <w:keepNext/>
        <w:jc w:val="both"/>
        <w:rPr>
          <w:rFonts w:cstheme="minorHAnsi"/>
          <w:sz w:val="24"/>
          <w:szCs w:val="24"/>
        </w:rPr>
      </w:pPr>
    </w:p>
    <w:p w14:paraId="4F4E13C5" w14:textId="77777777" w:rsidR="005B4F5C" w:rsidRPr="005B4F5C" w:rsidRDefault="005B4F5C" w:rsidP="005B4F5C">
      <w:pPr>
        <w:keepNext/>
        <w:jc w:val="both"/>
        <w:rPr>
          <w:rFonts w:cstheme="minorHAnsi"/>
          <w:sz w:val="24"/>
          <w:szCs w:val="24"/>
        </w:rPr>
      </w:pPr>
    </w:p>
    <w:p w14:paraId="58311DFD" w14:textId="77777777" w:rsidR="005B4F5C" w:rsidRPr="005B4F5C" w:rsidRDefault="005B4F5C" w:rsidP="005B4F5C">
      <w:pPr>
        <w:keepNext/>
        <w:jc w:val="both"/>
        <w:rPr>
          <w:rFonts w:cstheme="minorHAnsi"/>
          <w:sz w:val="24"/>
          <w:szCs w:val="24"/>
        </w:rPr>
      </w:pPr>
    </w:p>
    <w:p w14:paraId="29F839B7" w14:textId="77777777" w:rsidR="005B4F5C" w:rsidRPr="005B4F5C" w:rsidRDefault="005B4F5C" w:rsidP="005B4F5C">
      <w:pPr>
        <w:keepNext/>
        <w:jc w:val="both"/>
        <w:rPr>
          <w:rFonts w:cstheme="minorHAnsi"/>
          <w:sz w:val="24"/>
          <w:szCs w:val="24"/>
        </w:rPr>
      </w:pPr>
    </w:p>
    <w:p w14:paraId="2D216C9B" w14:textId="77777777" w:rsidR="005B4F5C" w:rsidRPr="005B4F5C" w:rsidRDefault="005B4F5C" w:rsidP="005B4F5C">
      <w:pPr>
        <w:keepNext/>
        <w:jc w:val="both"/>
        <w:rPr>
          <w:rFonts w:cstheme="minorHAnsi"/>
          <w:sz w:val="24"/>
          <w:szCs w:val="24"/>
        </w:rPr>
      </w:pPr>
    </w:p>
    <w:p w14:paraId="7E5F7EAB" w14:textId="77777777" w:rsidR="005B4F5C" w:rsidRPr="005B4F5C" w:rsidRDefault="005B4F5C" w:rsidP="005B4F5C">
      <w:pPr>
        <w:keepNext/>
        <w:jc w:val="both"/>
        <w:rPr>
          <w:rFonts w:cstheme="minorHAnsi"/>
          <w:sz w:val="24"/>
          <w:szCs w:val="24"/>
        </w:rPr>
      </w:pPr>
    </w:p>
    <w:p w14:paraId="6E1DD8B1" w14:textId="77777777" w:rsidR="005B4F5C" w:rsidRPr="005B4F5C" w:rsidRDefault="005B4F5C" w:rsidP="005B4F5C">
      <w:pPr>
        <w:keepNext/>
        <w:jc w:val="both"/>
        <w:rPr>
          <w:rFonts w:cstheme="minorHAnsi"/>
          <w:sz w:val="24"/>
          <w:szCs w:val="24"/>
        </w:rPr>
      </w:pPr>
    </w:p>
    <w:p w14:paraId="79412F78" w14:textId="77777777" w:rsidR="005B4F5C" w:rsidRPr="005B4F5C" w:rsidRDefault="005B4F5C" w:rsidP="005B4F5C">
      <w:pPr>
        <w:keepNext/>
        <w:jc w:val="both"/>
        <w:rPr>
          <w:rFonts w:cstheme="minorHAnsi"/>
          <w:sz w:val="24"/>
          <w:szCs w:val="24"/>
        </w:rPr>
      </w:pPr>
    </w:p>
    <w:p w14:paraId="74FC8981" w14:textId="77777777" w:rsidR="005B4F5C" w:rsidRPr="005B4F5C" w:rsidRDefault="005B4F5C" w:rsidP="005B4F5C">
      <w:pPr>
        <w:keepNext/>
        <w:jc w:val="both"/>
        <w:rPr>
          <w:rFonts w:cstheme="minorHAnsi"/>
          <w:sz w:val="24"/>
          <w:szCs w:val="24"/>
        </w:rPr>
      </w:pPr>
    </w:p>
    <w:p w14:paraId="432C8344" w14:textId="77777777" w:rsidR="005B4F5C" w:rsidRPr="005B4F5C" w:rsidRDefault="005B4F5C" w:rsidP="005B4F5C">
      <w:pPr>
        <w:keepNext/>
        <w:jc w:val="both"/>
        <w:rPr>
          <w:rFonts w:cstheme="minorHAnsi"/>
          <w:sz w:val="24"/>
          <w:szCs w:val="24"/>
        </w:rPr>
      </w:pPr>
    </w:p>
    <w:p w14:paraId="37B42B81" w14:textId="77777777" w:rsidR="005B4F5C" w:rsidRPr="005B4F5C" w:rsidRDefault="005B4F5C" w:rsidP="005B4F5C">
      <w:pPr>
        <w:keepNext/>
        <w:jc w:val="both"/>
        <w:rPr>
          <w:rFonts w:cstheme="minorHAnsi"/>
          <w:sz w:val="24"/>
          <w:szCs w:val="24"/>
        </w:rPr>
      </w:pPr>
    </w:p>
    <w:p w14:paraId="0E07506D" w14:textId="77777777" w:rsidR="005B4F5C" w:rsidRPr="005B4F5C" w:rsidRDefault="005B4F5C" w:rsidP="005B4F5C">
      <w:pPr>
        <w:keepNext/>
        <w:jc w:val="both"/>
        <w:rPr>
          <w:rFonts w:cstheme="minorHAnsi"/>
          <w:sz w:val="24"/>
          <w:szCs w:val="24"/>
        </w:rPr>
      </w:pPr>
    </w:p>
    <w:p w14:paraId="5CCB6A91" w14:textId="77777777" w:rsidR="005B4F5C" w:rsidRPr="005B4F5C" w:rsidRDefault="005B4F5C" w:rsidP="005B4F5C">
      <w:pPr>
        <w:keepNext/>
        <w:jc w:val="both"/>
        <w:rPr>
          <w:rFonts w:cstheme="minorHAnsi"/>
          <w:sz w:val="24"/>
          <w:szCs w:val="24"/>
        </w:rPr>
      </w:pPr>
    </w:p>
    <w:p w14:paraId="384FEFBD" w14:textId="77777777" w:rsidR="005B4F5C" w:rsidRPr="005B4F5C" w:rsidRDefault="005B4F5C" w:rsidP="005B4F5C">
      <w:pPr>
        <w:keepNext/>
        <w:jc w:val="both"/>
        <w:rPr>
          <w:rFonts w:cstheme="minorHAnsi"/>
          <w:sz w:val="24"/>
          <w:szCs w:val="24"/>
        </w:rPr>
      </w:pPr>
    </w:p>
    <w:p w14:paraId="1D93FF8D" w14:textId="77777777" w:rsidR="005B4F5C" w:rsidRPr="005B4F5C" w:rsidRDefault="005B4F5C" w:rsidP="005B4F5C">
      <w:pPr>
        <w:keepNext/>
        <w:jc w:val="both"/>
        <w:rPr>
          <w:rFonts w:cstheme="minorHAnsi"/>
          <w:sz w:val="24"/>
          <w:szCs w:val="24"/>
        </w:rPr>
      </w:pPr>
    </w:p>
    <w:p w14:paraId="3DF4AAEF" w14:textId="77777777" w:rsidR="005B4F5C" w:rsidRPr="005B4F5C" w:rsidRDefault="005B4F5C" w:rsidP="005B4F5C">
      <w:pPr>
        <w:keepNext/>
        <w:jc w:val="both"/>
        <w:rPr>
          <w:rFonts w:cstheme="minorHAnsi"/>
          <w:sz w:val="24"/>
          <w:szCs w:val="24"/>
        </w:rPr>
      </w:pPr>
    </w:p>
    <w:p w14:paraId="52973CD3" w14:textId="77777777" w:rsidR="005B4F5C" w:rsidRPr="005B4F5C" w:rsidRDefault="005B4F5C" w:rsidP="005B4F5C">
      <w:pPr>
        <w:keepNext/>
        <w:jc w:val="both"/>
        <w:rPr>
          <w:rFonts w:cstheme="minorHAnsi"/>
          <w:sz w:val="24"/>
          <w:szCs w:val="24"/>
        </w:rPr>
      </w:pPr>
    </w:p>
    <w:p w14:paraId="5929DB8C" w14:textId="77777777" w:rsidR="005B4F5C" w:rsidRPr="005B4F5C" w:rsidRDefault="005B4F5C" w:rsidP="005B4F5C">
      <w:pPr>
        <w:keepNext/>
        <w:jc w:val="both"/>
        <w:rPr>
          <w:rFonts w:cstheme="minorHAnsi"/>
          <w:sz w:val="24"/>
          <w:szCs w:val="24"/>
        </w:rPr>
      </w:pPr>
    </w:p>
    <w:p w14:paraId="3D3C79E9" w14:textId="77777777" w:rsidR="005B4F5C" w:rsidRPr="005B4F5C" w:rsidRDefault="005B4F5C" w:rsidP="005B4F5C">
      <w:pPr>
        <w:keepNext/>
        <w:jc w:val="both"/>
        <w:rPr>
          <w:rFonts w:cstheme="minorHAnsi"/>
          <w:sz w:val="24"/>
          <w:szCs w:val="24"/>
        </w:rPr>
        <w:sectPr w:rsidR="005B4F5C" w:rsidRPr="005B4F5C" w:rsidSect="005B4F5C">
          <w:endnotePr>
            <w:numFmt w:val="decimal"/>
          </w:endnotePr>
          <w:pgSz w:w="11906" w:h="16838"/>
          <w:pgMar w:top="1417" w:right="1020" w:bottom="992" w:left="1020" w:header="708" w:footer="708" w:gutter="0"/>
          <w:cols w:space="708"/>
          <w:docGrid w:linePitch="360"/>
        </w:sectPr>
      </w:pPr>
    </w:p>
    <w:p w14:paraId="25C09BB6" w14:textId="3879988B" w:rsidR="005B4F5C" w:rsidRPr="005B4F5C" w:rsidRDefault="005B4F5C" w:rsidP="005B4F5C">
      <w:pPr>
        <w:spacing w:before="120" w:after="120"/>
        <w:ind w:firstLine="227"/>
        <w:jc w:val="both"/>
        <w:rPr>
          <w:rFonts w:cstheme="minorHAnsi"/>
          <w:sz w:val="24"/>
          <w:szCs w:val="24"/>
        </w:rPr>
      </w:pPr>
    </w:p>
    <w:p w14:paraId="6922607E" w14:textId="77777777" w:rsidR="005B4F5C" w:rsidRPr="005B4F5C" w:rsidRDefault="005B4F5C" w:rsidP="005B4F5C">
      <w:pPr>
        <w:keepLines/>
        <w:spacing w:before="120" w:after="120"/>
        <w:ind w:left="227" w:hanging="113"/>
        <w:jc w:val="both"/>
        <w:rPr>
          <w:rFonts w:cstheme="minorHAnsi"/>
          <w:sz w:val="24"/>
          <w:szCs w:val="24"/>
        </w:rPr>
      </w:pPr>
      <w:r w:rsidRPr="005B4F5C">
        <w:rPr>
          <w:rFonts w:cstheme="minorHAnsi"/>
          <w:sz w:val="24"/>
          <w:szCs w:val="24"/>
        </w:rPr>
        <w:t>- </w:t>
      </w:r>
      <w:r w:rsidRPr="005B4F5C">
        <w:rPr>
          <w:rFonts w:eastAsia="Times New Roman" w:cstheme="minorHAnsi"/>
          <w:sz w:val="24"/>
          <w:szCs w:val="24"/>
        </w:rPr>
        <w:t>101803_2.0011.237/1 i 101803_2.0011.237/2 (działki zabudowane w bezpośrednim sąsiedztwie istniejącej zabudowy – patrz rysunek poniżej)</w:t>
      </w:r>
    </w:p>
    <w:p w14:paraId="66DCB7A2" w14:textId="77777777" w:rsidR="005B4F5C" w:rsidRPr="005B4F5C" w:rsidRDefault="005B4F5C" w:rsidP="005B4F5C">
      <w:pPr>
        <w:spacing w:before="120" w:after="120"/>
        <w:ind w:firstLine="227"/>
        <w:jc w:val="both"/>
        <w:rPr>
          <w:rFonts w:cstheme="minorHAnsi"/>
          <w:sz w:val="24"/>
          <w:szCs w:val="24"/>
        </w:rPr>
      </w:pPr>
      <w:r w:rsidRPr="005B4F5C">
        <w:rPr>
          <w:rFonts w:cstheme="minorHAnsi"/>
          <w:noProof/>
          <w:sz w:val="24"/>
          <w:szCs w:val="24"/>
        </w:rPr>
        <w:drawing>
          <wp:inline distT="0" distB="0" distL="0" distR="0" wp14:anchorId="20EDCF56" wp14:editId="5E37E909">
            <wp:extent cx="5350964" cy="3959714"/>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r:link="rId18"/>
                    <a:stretch>
                      <a:fillRect/>
                    </a:stretch>
                  </pic:blipFill>
                  <pic:spPr>
                    <a:xfrm>
                      <a:off x="0" y="0"/>
                      <a:ext cx="5350964" cy="3959714"/>
                    </a:xfrm>
                    <a:prstGeom prst="rect">
                      <a:avLst/>
                    </a:prstGeom>
                  </pic:spPr>
                </pic:pic>
              </a:graphicData>
            </a:graphic>
          </wp:inline>
        </w:drawing>
      </w:r>
    </w:p>
    <w:p w14:paraId="3C7DB757" w14:textId="77777777" w:rsidR="005B4F5C" w:rsidRPr="005B4F5C" w:rsidRDefault="005B4F5C" w:rsidP="005B4F5C">
      <w:pPr>
        <w:keepLines/>
        <w:spacing w:before="120" w:after="120"/>
        <w:ind w:left="227" w:hanging="113"/>
        <w:jc w:val="both"/>
        <w:rPr>
          <w:rFonts w:cstheme="minorHAnsi"/>
          <w:sz w:val="24"/>
          <w:szCs w:val="24"/>
        </w:rPr>
      </w:pPr>
      <w:r w:rsidRPr="005B4F5C">
        <w:rPr>
          <w:rFonts w:cstheme="minorHAnsi"/>
          <w:sz w:val="24"/>
          <w:szCs w:val="24"/>
        </w:rPr>
        <w:t>- </w:t>
      </w:r>
      <w:r w:rsidRPr="005B4F5C">
        <w:rPr>
          <w:rFonts w:eastAsia="Times New Roman" w:cstheme="minorHAnsi"/>
          <w:sz w:val="24"/>
          <w:szCs w:val="24"/>
        </w:rPr>
        <w:t>101803_2.0011.799, 101803_2.0011.798/11, 101803_2.0011.798/12 (działki częściowo zabudowane lub w trakcie zabudowy w bezpośrednim sąsiedztwie istniejącej zabudowy – patrz rysunek poniżej)</w:t>
      </w:r>
    </w:p>
    <w:p w14:paraId="3DEF5740" w14:textId="77777777" w:rsidR="005B4F5C" w:rsidRPr="005B4F5C" w:rsidRDefault="005B4F5C" w:rsidP="005B4F5C">
      <w:pPr>
        <w:spacing w:before="120" w:after="120"/>
        <w:ind w:firstLine="227"/>
        <w:jc w:val="both"/>
        <w:rPr>
          <w:rFonts w:cstheme="minorHAnsi"/>
          <w:sz w:val="24"/>
          <w:szCs w:val="24"/>
        </w:rPr>
      </w:pPr>
      <w:r w:rsidRPr="005B4F5C">
        <w:rPr>
          <w:rFonts w:cstheme="minorHAnsi"/>
          <w:noProof/>
          <w:sz w:val="24"/>
          <w:szCs w:val="24"/>
        </w:rPr>
        <w:lastRenderedPageBreak/>
        <w:drawing>
          <wp:inline distT="0" distB="0" distL="0" distR="0" wp14:anchorId="21F3F376" wp14:editId="26CFACA4">
            <wp:extent cx="6262206" cy="4195678"/>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r:link="rId19"/>
                    <a:stretch>
                      <a:fillRect/>
                    </a:stretch>
                  </pic:blipFill>
                  <pic:spPr>
                    <a:xfrm>
                      <a:off x="0" y="0"/>
                      <a:ext cx="6262206" cy="4195678"/>
                    </a:xfrm>
                    <a:prstGeom prst="rect">
                      <a:avLst/>
                    </a:prstGeom>
                  </pic:spPr>
                </pic:pic>
              </a:graphicData>
            </a:graphic>
          </wp:inline>
        </w:drawing>
      </w:r>
    </w:p>
    <w:p w14:paraId="21F31981" w14:textId="77777777" w:rsidR="005B4F5C" w:rsidRPr="005B4F5C" w:rsidRDefault="005B4F5C" w:rsidP="005B4F5C">
      <w:pPr>
        <w:keepLines/>
        <w:spacing w:before="120" w:after="120"/>
        <w:ind w:left="227" w:hanging="113"/>
        <w:jc w:val="both"/>
        <w:rPr>
          <w:rFonts w:cstheme="minorHAnsi"/>
          <w:sz w:val="24"/>
          <w:szCs w:val="24"/>
        </w:rPr>
      </w:pPr>
      <w:r w:rsidRPr="005B4F5C">
        <w:rPr>
          <w:rFonts w:cstheme="minorHAnsi"/>
          <w:sz w:val="24"/>
          <w:szCs w:val="24"/>
        </w:rPr>
        <w:t>- </w:t>
      </w:r>
      <w:r w:rsidRPr="005B4F5C">
        <w:rPr>
          <w:rFonts w:eastAsia="Times New Roman" w:cstheme="minorHAnsi"/>
          <w:sz w:val="24"/>
          <w:szCs w:val="24"/>
        </w:rPr>
        <w:t>101803_2.0019.1380 (aktualnie granica przecina działkę  – patrz rysunek poniżej),</w:t>
      </w:r>
    </w:p>
    <w:p w14:paraId="062628E2" w14:textId="77777777" w:rsidR="005B4F5C" w:rsidRPr="005B4F5C" w:rsidRDefault="005B4F5C" w:rsidP="005B4F5C">
      <w:pPr>
        <w:spacing w:before="120" w:after="120"/>
        <w:ind w:firstLine="227"/>
        <w:jc w:val="both"/>
        <w:rPr>
          <w:rFonts w:cstheme="minorHAnsi"/>
          <w:sz w:val="24"/>
          <w:szCs w:val="24"/>
        </w:rPr>
      </w:pPr>
      <w:r w:rsidRPr="005B4F5C">
        <w:rPr>
          <w:rFonts w:cstheme="minorHAnsi"/>
          <w:noProof/>
          <w:sz w:val="24"/>
          <w:szCs w:val="24"/>
        </w:rPr>
        <w:drawing>
          <wp:inline distT="0" distB="0" distL="0" distR="0" wp14:anchorId="081EE0F4" wp14:editId="23A8AE29">
            <wp:extent cx="5141006" cy="3444474"/>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r:link="rId20"/>
                    <a:stretch>
                      <a:fillRect/>
                    </a:stretch>
                  </pic:blipFill>
                  <pic:spPr>
                    <a:xfrm>
                      <a:off x="0" y="0"/>
                      <a:ext cx="5141006" cy="3444474"/>
                    </a:xfrm>
                    <a:prstGeom prst="rect">
                      <a:avLst/>
                    </a:prstGeom>
                  </pic:spPr>
                </pic:pic>
              </a:graphicData>
            </a:graphic>
          </wp:inline>
        </w:drawing>
      </w:r>
    </w:p>
    <w:p w14:paraId="00FB105E" w14:textId="77777777" w:rsidR="005B4F5C" w:rsidRPr="005B4F5C" w:rsidRDefault="005B4F5C" w:rsidP="005B4F5C">
      <w:pPr>
        <w:keepLines/>
        <w:spacing w:before="120" w:after="120"/>
        <w:ind w:left="227" w:hanging="113"/>
        <w:jc w:val="both"/>
        <w:rPr>
          <w:rFonts w:cstheme="minorHAnsi"/>
          <w:sz w:val="24"/>
          <w:szCs w:val="24"/>
        </w:rPr>
      </w:pPr>
      <w:r w:rsidRPr="005B4F5C">
        <w:rPr>
          <w:rFonts w:cstheme="minorHAnsi"/>
          <w:sz w:val="24"/>
          <w:szCs w:val="24"/>
        </w:rPr>
        <w:t>- </w:t>
      </w:r>
      <w:r w:rsidRPr="005B4F5C">
        <w:rPr>
          <w:rFonts w:eastAsia="Times New Roman" w:cstheme="minorHAnsi"/>
          <w:sz w:val="24"/>
          <w:szCs w:val="24"/>
        </w:rPr>
        <w:t>101803_2.0019.1505 (na działce zlokalizowana jest oczyszczalnia ścieków w Węglewicach ul. Cmentarna 14 – patrz rysunek poniżej).</w:t>
      </w:r>
    </w:p>
    <w:p w14:paraId="3AAF8458" w14:textId="77777777" w:rsidR="005B4F5C" w:rsidRPr="005B4F5C" w:rsidRDefault="005B4F5C" w:rsidP="005B4F5C">
      <w:pPr>
        <w:spacing w:before="120" w:after="120"/>
        <w:ind w:firstLine="227"/>
        <w:jc w:val="both"/>
        <w:rPr>
          <w:rFonts w:cstheme="minorHAnsi"/>
          <w:sz w:val="24"/>
          <w:szCs w:val="24"/>
        </w:rPr>
      </w:pPr>
      <w:r w:rsidRPr="005B4F5C">
        <w:rPr>
          <w:rFonts w:cstheme="minorHAnsi"/>
          <w:noProof/>
          <w:sz w:val="24"/>
          <w:szCs w:val="24"/>
        </w:rPr>
        <w:lastRenderedPageBreak/>
        <w:drawing>
          <wp:inline distT="0" distB="0" distL="0" distR="0" wp14:anchorId="192E133E" wp14:editId="17A4FBC8">
            <wp:extent cx="6262206" cy="4195678"/>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r:link="rId21"/>
                    <a:stretch>
                      <a:fillRect/>
                    </a:stretch>
                  </pic:blipFill>
                  <pic:spPr>
                    <a:xfrm>
                      <a:off x="0" y="0"/>
                      <a:ext cx="6262206" cy="4195678"/>
                    </a:xfrm>
                    <a:prstGeom prst="rect">
                      <a:avLst/>
                    </a:prstGeom>
                  </pic:spPr>
                </pic:pic>
              </a:graphicData>
            </a:graphic>
          </wp:inline>
        </w:drawing>
      </w:r>
    </w:p>
    <w:p w14:paraId="7A750586" w14:textId="77777777" w:rsidR="005B4F5C" w:rsidRPr="005B4F5C" w:rsidRDefault="005B4F5C" w:rsidP="005B4F5C">
      <w:pPr>
        <w:keepLines/>
        <w:spacing w:before="120" w:after="120"/>
        <w:ind w:left="227" w:hanging="113"/>
        <w:jc w:val="both"/>
        <w:rPr>
          <w:rFonts w:cstheme="minorHAnsi"/>
          <w:sz w:val="24"/>
          <w:szCs w:val="24"/>
        </w:rPr>
      </w:pPr>
      <w:r w:rsidRPr="005B4F5C">
        <w:rPr>
          <w:rFonts w:cstheme="minorHAnsi"/>
          <w:sz w:val="24"/>
          <w:szCs w:val="24"/>
        </w:rPr>
        <w:t>- </w:t>
      </w:r>
      <w:r w:rsidRPr="005B4F5C">
        <w:rPr>
          <w:rFonts w:eastAsia="Times New Roman" w:cstheme="minorHAnsi"/>
          <w:sz w:val="24"/>
          <w:szCs w:val="24"/>
        </w:rPr>
        <w:t>101803_2.0018.362/1 (aktualnie granica przecina działkę – patrz rysunek poniżej)</w:t>
      </w:r>
    </w:p>
    <w:p w14:paraId="7661DE03" w14:textId="77777777" w:rsidR="005B4F5C" w:rsidRPr="005B4F5C" w:rsidRDefault="005B4F5C" w:rsidP="005B4F5C">
      <w:pPr>
        <w:spacing w:before="120" w:after="120"/>
        <w:ind w:firstLine="227"/>
        <w:jc w:val="both"/>
        <w:rPr>
          <w:rFonts w:cstheme="minorHAnsi"/>
          <w:sz w:val="24"/>
          <w:szCs w:val="24"/>
        </w:rPr>
      </w:pPr>
      <w:r w:rsidRPr="005B4F5C">
        <w:rPr>
          <w:rFonts w:cstheme="minorHAnsi"/>
          <w:noProof/>
          <w:sz w:val="24"/>
          <w:szCs w:val="24"/>
        </w:rPr>
        <w:drawing>
          <wp:inline distT="0" distB="0" distL="0" distR="0" wp14:anchorId="2F5BDB5C" wp14:editId="71FB18A2">
            <wp:extent cx="5012837" cy="3358601"/>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r:link="rId22"/>
                    <a:stretch>
                      <a:fillRect/>
                    </a:stretch>
                  </pic:blipFill>
                  <pic:spPr>
                    <a:xfrm>
                      <a:off x="0" y="0"/>
                      <a:ext cx="5012837" cy="3358601"/>
                    </a:xfrm>
                    <a:prstGeom prst="rect">
                      <a:avLst/>
                    </a:prstGeom>
                  </pic:spPr>
                </pic:pic>
              </a:graphicData>
            </a:graphic>
          </wp:inline>
        </w:drawing>
      </w:r>
    </w:p>
    <w:p w14:paraId="238F0E81" w14:textId="77777777" w:rsidR="005B4F5C" w:rsidRPr="005B4F5C" w:rsidRDefault="005B4F5C" w:rsidP="005B4F5C">
      <w:pPr>
        <w:keepLines/>
        <w:spacing w:before="120" w:after="120"/>
        <w:ind w:left="227" w:hanging="113"/>
        <w:jc w:val="both"/>
        <w:rPr>
          <w:rFonts w:cstheme="minorHAnsi"/>
          <w:sz w:val="24"/>
          <w:szCs w:val="24"/>
        </w:rPr>
      </w:pPr>
      <w:r w:rsidRPr="005B4F5C">
        <w:rPr>
          <w:rFonts w:cstheme="minorHAnsi"/>
          <w:sz w:val="24"/>
          <w:szCs w:val="24"/>
        </w:rPr>
        <w:t>- </w:t>
      </w:r>
      <w:r w:rsidRPr="005B4F5C">
        <w:rPr>
          <w:rFonts w:eastAsia="Times New Roman" w:cstheme="minorHAnsi"/>
          <w:sz w:val="24"/>
          <w:szCs w:val="24"/>
        </w:rPr>
        <w:t>korekta granic krajobrazu priorytetowego w taki sposób, żeby uwzględniały granice działek, w szczególności działek zabudowanych, jak również istniejące zabudowania (aktualnie granica krajobrazu przecina działki zabudowane, a nawet budynki np.  działki 101803_2.0018.758/2, 101803_2.0018.767/1 – patrz rysunek poniżej)</w:t>
      </w:r>
    </w:p>
    <w:p w14:paraId="422C369E" w14:textId="77777777" w:rsidR="005B4F5C" w:rsidRPr="005B4F5C" w:rsidRDefault="005B4F5C" w:rsidP="005B4F5C">
      <w:pPr>
        <w:spacing w:before="120" w:after="120"/>
        <w:ind w:firstLine="227"/>
        <w:jc w:val="both"/>
        <w:rPr>
          <w:rFonts w:cstheme="minorHAnsi"/>
          <w:sz w:val="24"/>
          <w:szCs w:val="24"/>
        </w:rPr>
      </w:pPr>
      <w:r w:rsidRPr="005B4F5C">
        <w:rPr>
          <w:rFonts w:cstheme="minorHAnsi"/>
          <w:noProof/>
          <w:sz w:val="24"/>
          <w:szCs w:val="24"/>
        </w:rPr>
        <w:lastRenderedPageBreak/>
        <w:drawing>
          <wp:inline distT="0" distB="0" distL="0" distR="0" wp14:anchorId="48ECF23E" wp14:editId="451603DF">
            <wp:extent cx="6262206" cy="4195678"/>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r:link="rId23"/>
                    <a:stretch>
                      <a:fillRect/>
                    </a:stretch>
                  </pic:blipFill>
                  <pic:spPr>
                    <a:xfrm>
                      <a:off x="0" y="0"/>
                      <a:ext cx="6262206" cy="4195678"/>
                    </a:xfrm>
                    <a:prstGeom prst="rect">
                      <a:avLst/>
                    </a:prstGeom>
                  </pic:spPr>
                </pic:pic>
              </a:graphicData>
            </a:graphic>
          </wp:inline>
        </w:drawing>
      </w:r>
    </w:p>
    <w:p w14:paraId="35381760"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sz w:val="24"/>
          <w:szCs w:val="24"/>
        </w:rPr>
        <w:t>W zakresie Punktu II Rekomendacje i wnioski dotyczące kierunków i zasad kształtowania zabudowy, zagospodarowania i użytkowania terenów  w </w:t>
      </w:r>
      <w:proofErr w:type="spellStart"/>
      <w:r w:rsidRPr="005B4F5C">
        <w:rPr>
          <w:rFonts w:eastAsia="Times New Roman" w:cstheme="minorHAnsi"/>
          <w:sz w:val="24"/>
          <w:szCs w:val="24"/>
        </w:rPr>
        <w:t>Ppkt</w:t>
      </w:r>
      <w:proofErr w:type="spellEnd"/>
      <w:r w:rsidRPr="005B4F5C">
        <w:rPr>
          <w:rFonts w:eastAsia="Times New Roman" w:cstheme="minorHAnsi"/>
          <w:sz w:val="24"/>
          <w:szCs w:val="24"/>
        </w:rPr>
        <w:t xml:space="preserve">. </w:t>
      </w:r>
      <w:r w:rsidRPr="005B4F5C">
        <w:rPr>
          <w:rFonts w:eastAsia="Times New Roman" w:cstheme="minorHAnsi"/>
          <w:color w:val="000000"/>
          <w:sz w:val="24"/>
          <w:szCs w:val="24"/>
          <w:u w:val="single" w:color="000000"/>
        </w:rPr>
        <w:t>2 Poziom lokalny (Gminny)</w:t>
      </w:r>
      <w:r w:rsidRPr="005B4F5C">
        <w:rPr>
          <w:rFonts w:eastAsia="Times New Roman" w:cstheme="minorHAnsi"/>
          <w:color w:val="000000"/>
          <w:sz w:val="24"/>
          <w:szCs w:val="24"/>
          <w:u w:color="000000"/>
        </w:rPr>
        <w:t xml:space="preserve"> w zakresie dotyczącym zapisu: „Niewprowadzanie zabudowy oraz obiektów infrastruktury technicznej i komunikacyjnej w bezpośrednim sąsiedztwie Specjalnego Obszaru Ochrony Siedlisk Torfowiska nad Prosną PLH1000037” wnosimy o wprowadzenie w nim zmiany uwzględniającej poniższe.  Obszar Torfowisk nad Prosną zachodzi narożnikiem na zainwestowaną nieruchomość zabudowaną gminną (Szkoła Podstawowa w Osieku), oznaczoną numerem działki 799, na której jest już obiekt infrastruktury technicznej, znajduje się na nim przepompownia ścieków. Wymieniona nieruchomość tj. działka 799 jaki i droga gmina 118295E, mieszcząca się na działce numer 751  przylegają bezpośrednio  do działki numer 748 wchodzącej w skład całego zasięgu Torfowiska nad Prosną. Rekomendacja ta zablokuje gminie możliwości rozbudowy istniejącej szkoły i uniemożliwi budowę asfaltu na działce drogowej przy której usytuowano  domy jednorodzinne. Odcinek drogi gminnej o długości 327,5m.</w:t>
      </w:r>
    </w:p>
    <w:p w14:paraId="43E59EC2"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cstheme="minorHAnsi"/>
          <w:noProof/>
          <w:color w:val="000000"/>
          <w:sz w:val="24"/>
          <w:szCs w:val="24"/>
          <w:u w:color="000000"/>
        </w:rPr>
        <w:lastRenderedPageBreak/>
        <w:drawing>
          <wp:inline distT="0" distB="0" distL="0" distR="0" wp14:anchorId="789F698F" wp14:editId="16A19434">
            <wp:extent cx="6262206" cy="4195678"/>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r:link="rId24"/>
                    <a:stretch>
                      <a:fillRect/>
                    </a:stretch>
                  </pic:blipFill>
                  <pic:spPr>
                    <a:xfrm>
                      <a:off x="0" y="0"/>
                      <a:ext cx="6262206" cy="4195678"/>
                    </a:xfrm>
                    <a:prstGeom prst="rect">
                      <a:avLst/>
                    </a:prstGeom>
                  </pic:spPr>
                </pic:pic>
              </a:graphicData>
            </a:graphic>
          </wp:inline>
        </w:drawing>
      </w:r>
    </w:p>
    <w:p w14:paraId="5B084CFF"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W pkt. 13 Wytyczne odnośnie określenia walorów ekspozycji, w szczególności elementów takich przedpola ekspozycji, osie widokowe i punkty widokowe oraz zasad ich ochrony i kształtowania, w tym nakazów, zakazów </w:t>
      </w:r>
      <w:proofErr w:type="spellStart"/>
      <w:r w:rsidRPr="005B4F5C">
        <w:rPr>
          <w:rFonts w:eastAsia="Times New Roman" w:cstheme="minorHAnsi"/>
          <w:color w:val="000000"/>
          <w:sz w:val="24"/>
          <w:szCs w:val="24"/>
          <w:u w:color="000000"/>
        </w:rPr>
        <w:t>dopuszczeń</w:t>
      </w:r>
      <w:proofErr w:type="spellEnd"/>
      <w:r w:rsidRPr="005B4F5C">
        <w:rPr>
          <w:rFonts w:eastAsia="Times New Roman" w:cstheme="minorHAnsi"/>
          <w:color w:val="000000"/>
          <w:sz w:val="24"/>
          <w:szCs w:val="24"/>
          <w:u w:color="000000"/>
        </w:rPr>
        <w:t xml:space="preserve"> i ograniczeń w zagospodarowaniu i użytkowaniu terenów. Zapisano: „Zakaz wprowadzania elementów naruszających walory widokowe, w tym zabudowy dysharmonijnej, ograniczającej lub przesłaniającej otwarcia widokowe (m.in. w strefie zachodniego i południowego przedpola widokowego wzniesienia Bąkowej Góry)”.  Wnosimy o usunięcie błędu - Bąkowa Góra to wieś  w gminie Ręczno. W opisie syntetycznym  jako walor estetyczno-widokowy wpisano PANORAMĘ 178A-Widok Węglewice (SE-SW). Na załączniku graficznym krajobrazu priorytetowego 10.318.21-22 Dolina Prosny (Wieruszów-Węglewice) oznaczono dwoma strzałkami Punkt widokowy w miejscu położonym w obrębie Węglewice przy drodze Powiatowej DP4713E w kierunku woj. Wielkopolskiego. Wyznaczony obszar ekspozycji widokowych stanowi duży i rozległy teren o atrakcyjnym potencjale inwestycyjnym. Nie można wykluczyć konieczności wyznaczenia w przyszłości w tym obszarze nowych terenów inwestycyjnych. Zapisy zawarte w rekomendacjach dla tego obszaru w znaczącym stopniu ograniczają lub całkowicie uniemożliwiają wyznaczenie nowych terenów inwestycyjnych. Ponadto w obrębie wyznaczonego pola ekspozycji obowiązujące studium lokalizuje tereny przeznaczone pod zabudowę, dla których obowiązek sporządzania analiz  widokowych, krajobrazowych mocno skomplikuje proces uzyskiwania pozwoleń na budowę. Wprowadzenie nowych ograniczeń może skutkować znacznym spowolnieniem rozwoju gospodarczego.</w:t>
      </w:r>
    </w:p>
    <w:p w14:paraId="687EA847"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Nie budzi wątpliwości, że walory krajobrazowe opisane w projekcie audytu krajobrazowego dla przedmiotowego obszaru wymagają ochrony i zachowania dla przyszłych pokoleń. Jednakże istotnym jest, że na tym obszarze funkcjonują już takie formy ochrony przyrody  jak: Obszar Chroniony Krajobrazu „Dolina Prosny”, Obszary Natura 2000, Torfowiska nad Prosną , które są wystarczające dla ochrony walorów krajobrazowych i przyrodniczych. Jednym ze źródeł utrzymania mieszkańców Gminy </w:t>
      </w:r>
      <w:r w:rsidRPr="005B4F5C">
        <w:rPr>
          <w:rFonts w:eastAsia="Times New Roman" w:cstheme="minorHAnsi"/>
          <w:color w:val="000000"/>
          <w:sz w:val="24"/>
          <w:szCs w:val="24"/>
          <w:u w:color="000000"/>
        </w:rPr>
        <w:lastRenderedPageBreak/>
        <w:t>Galewice objętych formami ochrony przyrody jest działalność gospodarcza, przerób drewna, rolnictwo, a także turystyka. Wprowadzanie nowych ograniczeń może skutkować zablokowaniem rozwoju gospodarczego. Nasza społeczność powinna mieć możliwość podejmowania aktywności na swoim pięknym przyrodniczo terenie. Zaznaczyć należy, że sporą część przedmiotowego obszaru stanowi własność prywatną.</w:t>
      </w:r>
    </w:p>
    <w:p w14:paraId="5E0A9D3C"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W pkt. 1 Wytyczne odnośnie kierunków zmian w strukturze przestrzennej oraz w przeznaczeniu terenów lub zasad ich zagospodarowania określających dopuszczalny zakres i ograniczenia tych zmian, w tym wytycznych odnośnie nakazów, zakazów, </w:t>
      </w:r>
      <w:proofErr w:type="spellStart"/>
      <w:r w:rsidRPr="005B4F5C">
        <w:rPr>
          <w:rFonts w:eastAsia="Times New Roman" w:cstheme="minorHAnsi"/>
          <w:color w:val="000000"/>
          <w:sz w:val="24"/>
          <w:szCs w:val="24"/>
          <w:u w:color="000000"/>
        </w:rPr>
        <w:t>dopuszczeń</w:t>
      </w:r>
      <w:proofErr w:type="spellEnd"/>
      <w:r w:rsidRPr="005B4F5C">
        <w:rPr>
          <w:rFonts w:eastAsia="Times New Roman" w:cstheme="minorHAnsi"/>
          <w:color w:val="000000"/>
          <w:sz w:val="24"/>
          <w:szCs w:val="24"/>
          <w:u w:color="000000"/>
        </w:rPr>
        <w:t xml:space="preserve"> i ograniczeń w zagospodarowaniu i użytkowaniu terenów. "Dopuszcza się tylko funkcję turystyczną i rolną". Gmina wnosi o dopisanie funkcji usługowej, prowadzenie działalności gospodarczej, produkcyjnej. W miejscowościach objętych zasięgiem Krajobrazu priorytetowego </w:t>
      </w:r>
      <w:proofErr w:type="spellStart"/>
      <w:r w:rsidRPr="005B4F5C">
        <w:rPr>
          <w:rFonts w:eastAsia="Times New Roman" w:cstheme="minorHAnsi"/>
          <w:color w:val="000000"/>
          <w:sz w:val="24"/>
          <w:szCs w:val="24"/>
          <w:u w:color="000000"/>
        </w:rPr>
        <w:t>tj</w:t>
      </w:r>
      <w:proofErr w:type="spellEnd"/>
      <w:r w:rsidRPr="005B4F5C">
        <w:rPr>
          <w:rFonts w:eastAsia="Times New Roman" w:cstheme="minorHAnsi"/>
          <w:color w:val="000000"/>
          <w:sz w:val="24"/>
          <w:szCs w:val="24"/>
          <w:u w:color="000000"/>
        </w:rPr>
        <w:t xml:space="preserve">: Węglewice, Spóle </w:t>
      </w:r>
      <w:proofErr w:type="spellStart"/>
      <w:r w:rsidRPr="005B4F5C">
        <w:rPr>
          <w:rFonts w:eastAsia="Times New Roman" w:cstheme="minorHAnsi"/>
          <w:color w:val="000000"/>
          <w:sz w:val="24"/>
          <w:szCs w:val="24"/>
          <w:u w:color="000000"/>
        </w:rPr>
        <w:t>Załozie</w:t>
      </w:r>
      <w:proofErr w:type="spellEnd"/>
      <w:r w:rsidRPr="005B4F5C">
        <w:rPr>
          <w:rFonts w:eastAsia="Times New Roman" w:cstheme="minorHAnsi"/>
          <w:color w:val="000000"/>
          <w:sz w:val="24"/>
          <w:szCs w:val="24"/>
          <w:u w:color="000000"/>
        </w:rPr>
        <w:t>, Plęsy Brzeziny istnieją małe zakłady, które będą chciały  inwestować w ich rozbudowę i rozwijać świadczone usługi. Nie chcemy też wykluczyć powstania całkiem nowych zakładów tworzących miejsca pracy.</w:t>
      </w:r>
    </w:p>
    <w:p w14:paraId="583EE0C9"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Rekomendacja (str.12): " W przypadku realizacji zabudowy należy dążyć do zapewnienia jak największego udziału powierzchni biologicznie czynnej. Minimalny udział procentowy powierzchni chłonnej, w tym biologicznie czynnej na poziomie 70% (dla działki mieszkaniowej) i 90% (dla działki letniskowej)" jest niezgodna z obowiązującym Studium Uwarunkowań i Kierunków Zagospodarowania Przestrzennego  gm. Galewice. W przypadku terenów zabudowy mieszkaniowej jednorodzinnej , mieszkaniowo-usługowej i usługowej nie powinien być mniejszy niż 30% dla terenów rekreacji indywidualnej - nie mniej niż 50%, dla terenów rekreacyjno-wypoczynkowych i obsługi turystyki - nie mniej niż 50%.</w:t>
      </w:r>
    </w:p>
    <w:p w14:paraId="7F425EA0"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W </w:t>
      </w:r>
      <w:proofErr w:type="spellStart"/>
      <w:r w:rsidRPr="005B4F5C">
        <w:rPr>
          <w:rFonts w:eastAsia="Times New Roman" w:cstheme="minorHAnsi"/>
          <w:color w:val="000000"/>
          <w:sz w:val="24"/>
          <w:szCs w:val="24"/>
          <w:u w:color="000000"/>
        </w:rPr>
        <w:t>pkt.II</w:t>
      </w:r>
      <w:proofErr w:type="spellEnd"/>
      <w:r w:rsidRPr="005B4F5C">
        <w:rPr>
          <w:rFonts w:eastAsia="Times New Roman" w:cstheme="minorHAnsi"/>
          <w:color w:val="000000"/>
          <w:sz w:val="24"/>
          <w:szCs w:val="24"/>
          <w:u w:color="000000"/>
        </w:rPr>
        <w:t xml:space="preserve"> Rekomendacje i wnioski dotyczące kierunków i zasad kształtowania zabudowy, zagospodarowania i użytkowania terenów ppkt.1 Poziom regionalny (województwa) wpisano: Kreowanie nowej zabudowy w sposób jednorodny, zwłaszcza w ośrodkach historycznych i na terenach wiejskich z uwzględnieniem lokalnych form architektonicznych, właściwych gabarytów, proporcji stylu i estetyki, z wykorzystaniem tradycyjnych lokalnych materiałów budowlanych. Tymczasem w punkcie D (str.18) lokalnych form architektonicznych w ogóle nie określono w Krajobrazie priorytetowym DOLINA PROSNY (Wieruszów -</w:t>
      </w:r>
      <w:proofErr w:type="spellStart"/>
      <w:r w:rsidRPr="005B4F5C">
        <w:rPr>
          <w:rFonts w:eastAsia="Times New Roman" w:cstheme="minorHAnsi"/>
          <w:color w:val="000000"/>
          <w:sz w:val="24"/>
          <w:szCs w:val="24"/>
          <w:u w:color="000000"/>
        </w:rPr>
        <w:t>Weglewice</w:t>
      </w:r>
      <w:proofErr w:type="spellEnd"/>
      <w:r w:rsidRPr="005B4F5C">
        <w:rPr>
          <w:rFonts w:eastAsia="Times New Roman" w:cstheme="minorHAnsi"/>
          <w:color w:val="000000"/>
          <w:sz w:val="24"/>
          <w:szCs w:val="24"/>
          <w:u w:color="000000"/>
        </w:rPr>
        <w:t>).</w:t>
      </w:r>
    </w:p>
    <w:p w14:paraId="303517A3" w14:textId="77777777" w:rsidR="005B4F5C" w:rsidRPr="005B4F5C" w:rsidRDefault="005B4F5C" w:rsidP="005B4F5C">
      <w:pPr>
        <w:keepLines/>
        <w:spacing w:before="120" w:after="120"/>
        <w:ind w:firstLine="340"/>
        <w:jc w:val="both"/>
        <w:rPr>
          <w:rFonts w:cstheme="minorHAnsi"/>
          <w:color w:val="000000"/>
          <w:sz w:val="24"/>
          <w:szCs w:val="24"/>
          <w:u w:color="000000"/>
        </w:rPr>
      </w:pPr>
      <w:r w:rsidRPr="005B4F5C">
        <w:rPr>
          <w:rFonts w:eastAsia="Times New Roman" w:cstheme="minorHAnsi"/>
          <w:sz w:val="24"/>
          <w:szCs w:val="24"/>
        </w:rPr>
        <w:t>2. </w:t>
      </w:r>
      <w:r w:rsidRPr="005B4F5C">
        <w:rPr>
          <w:rFonts w:eastAsia="Times New Roman" w:cstheme="minorHAnsi"/>
          <w:b/>
          <w:color w:val="000000"/>
          <w:sz w:val="24"/>
          <w:szCs w:val="24"/>
          <w:u w:color="000000"/>
        </w:rPr>
        <w:t>Jednocześnie zgłaszamy uwagi dotyczące Obszaru Chronionego Krajobrazu Dolina Prosny.</w:t>
      </w:r>
    </w:p>
    <w:p w14:paraId="7FD89743"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Aktualnie trwają prace nad opracowaniem planu ogólnego gminy i zgodnie z wnioskiem Centralnego Portu Komunikacyjnego przez Obszaru Chronionego Krajobrazu Dolina Prosny planowana jest Budowa linii kolejowej nr 85 i 86 na odcinku Łódź – Sieradz Północny – Kępno – Czernica Wrocławska – Wrocław Główny” stanowiący element Ciągu Nr 9 wskazanego w rozporządzeniu Rady Ministrów z dnia 26 stycznia 2021 w sprawie wykazu Inwestycji Towarzyszących w zakresie Centralnego Portu Komunikacyjnego (dz. U. poz. 225 z </w:t>
      </w:r>
      <w:proofErr w:type="spellStart"/>
      <w:r w:rsidRPr="005B4F5C">
        <w:rPr>
          <w:rFonts w:eastAsia="Times New Roman" w:cstheme="minorHAnsi"/>
          <w:color w:val="000000"/>
          <w:sz w:val="24"/>
          <w:szCs w:val="24"/>
          <w:u w:color="000000"/>
        </w:rPr>
        <w:t>późn</w:t>
      </w:r>
      <w:proofErr w:type="spellEnd"/>
      <w:r w:rsidRPr="005B4F5C">
        <w:rPr>
          <w:rFonts w:eastAsia="Times New Roman" w:cstheme="minorHAnsi"/>
          <w:color w:val="000000"/>
          <w:sz w:val="24"/>
          <w:szCs w:val="24"/>
          <w:u w:color="000000"/>
        </w:rPr>
        <w:t xml:space="preserve">. zm.). W związku z planowaną inwestycją, która w znaczący sposób będzie ingerować w Obszaru Chronionego Krajobrazu Doliny Prosny, zasadne jest poddanie ponownej analizie przebiegu granic przedmiotowego Obszaru oraz jego zmniejszenie z powodu bezpowrotnej utraty wyróżniającego się krajobrazu o zróżnicowanych ekosystemach i możliwości zaspokajania potrzeb związanych z turystyką i wypoczynkiem, zgodnie z art. 23 ust. 2 ustawy z dnia 16 kwietnia 2004 r. o ochronie przyrody (Dz. U. z 2024 poz. 1478). Dotychczasowa linia przebiegu granicy obszaru nie znalazła w pełni odniesienia do faktycznych powiązań przyrodniczych i krajobrazowych względem doliny rzeki Prosny, obszar chroniony uwzględnił tereny, które nie posiadają powiązania faktycznego z doliną rzeki Prosny. Mowa tutaj o terenach w obrębie Rybka, </w:t>
      </w:r>
      <w:r w:rsidRPr="005B4F5C">
        <w:rPr>
          <w:rFonts w:eastAsia="Times New Roman" w:cstheme="minorHAnsi"/>
          <w:color w:val="000000"/>
          <w:sz w:val="24"/>
          <w:szCs w:val="24"/>
          <w:u w:color="000000"/>
        </w:rPr>
        <w:lastRenderedPageBreak/>
        <w:t>Przybyłów, Żelazo, czyli części północnej obszaru , zwarty kompleksy leśny o tak  znacznym oddaleniu od faktycznej doliny. Planowana lokalizacja obiektu liniowego (szybka kolej) wpłynie negatywnie  na zachowanie spójności struktury funkcjonalno-przestrzennej krajobrazu, spowoduje przecinanie i fragmentację tego obszaru. Wprowadzone zapisy i rekomendacje w dokumencie audytu mogą w negatywny sposób wpłynąć na dalszy przyjęty kierunek rozwoju gminy Galewice. Ponadto, ograniczenia wskazane w uchwale Nr XXX/398/16 Sejmiku Województwa Łódzkiego z dnia 29 listopada 2016 r. w sprawie wyznaczenia Obszaru Chronionego Krajobrazu Doliny Prosny, w znaczący sposób ograniczają możliwości rozwojowe gminy wynikających z ustaleń studium uwarunkowań i kierunków zagospodarowania przestrzenne gminy  w stopniu nieproporcjonalnym do wartości jakie obszar chronionego krajobrazu ma chronić.</w:t>
      </w:r>
    </w:p>
    <w:p w14:paraId="332FD762"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Mające na uwadze powyższe, zgłaszamy postulat zmniejszenia Obszaru Chronionego Krajobrazu Doliny Prosny oraz wprowadzenia zakazu budowy nowych obiektów budowlanych w pasie szerokości 20 m od linii brzegowej rzek, a nie jak jest to w chwili obecnej 100 m. Właściciele nieruchomości położonych przy Strudze Kraszewickiej biegnącej przez miejscowość Foluszczyki, Ciupki w obrębie geodezyjnym Foluszczyki, nie mogą zrealizować swoich planów w zakresie budowy mieszkaniowej czy też usługowej – np. rozpoczęcie przy rolniczej działalności gospodarczej na tych działkach ze względu na powyższy zakaz. Dlatego wnioskujemy w tym obszarze przy w/w strudze o zmniejszenie szerokości pasa ze 100 do 20 metrów. W uchwale Nr XXX/398/16 Sejmiku Województwa Łódzkiego z dnia 29 listopada 2016r. takie zmniejszenie uzyskały gminy: Gmina Wieruszów dla działek w obrębie miejscowości </w:t>
      </w:r>
      <w:proofErr w:type="spellStart"/>
      <w:r w:rsidRPr="005B4F5C">
        <w:rPr>
          <w:rFonts w:eastAsia="Times New Roman" w:cstheme="minorHAnsi"/>
          <w:color w:val="000000"/>
          <w:sz w:val="24"/>
          <w:szCs w:val="24"/>
          <w:u w:color="000000"/>
        </w:rPr>
        <w:t>Mesznary</w:t>
      </w:r>
      <w:proofErr w:type="spellEnd"/>
      <w:r w:rsidRPr="005B4F5C">
        <w:rPr>
          <w:rFonts w:eastAsia="Times New Roman" w:cstheme="minorHAnsi"/>
          <w:color w:val="000000"/>
          <w:sz w:val="24"/>
          <w:szCs w:val="24"/>
          <w:u w:color="000000"/>
        </w:rPr>
        <w:t xml:space="preserve"> oraz w obrębie klatka; Gmina Łubnice 50 m od linii brzegowej rzeki Prosny i rzeki Pyszny, Gmina Mokrsko 20 m od linii brzegowej rzeki Ożarki; Gmina Skomlin 50 m od linii brzegowej rzeki Prosny.</w:t>
      </w:r>
    </w:p>
    <w:p w14:paraId="4D668FC3"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Wykluczenie możliwości lokalizowania zabudowy w pasie o szerokości 100 m od linii brzegowej rzeki i jezior oraz innych naturalnych i sztucznych zbiorników wodnych jest znaczącym ograniczeniem. Utrudni to lub uniemożliwi lokalizowanie nowych inwestycji co w konsekwencji wpłynie na rozwój gminy. Zgodnie z Uchwałą Nr XXII/117/12 z dnia 20 listopada 2012r. w sprawie studium uwarunkowań i kierunków zagospodarowania przestrzennego Gminy Galewice dostępnym na stronie BIP (tj. zał. graficzny nr 3) na terenie gminy planuje się budowę zbiornika „OKOŃ”  na Strudze Węglewskiej w obrębie geodezyjnym Węglewice. Gmina wykupiła grunty działki nr: 2572, 2639, 2643, 2644, 2567, 2641, 2642, 2880, 2645, 2646, 2902, 2647, 2648, 2663, 2571, 2606/2, 2649, 2650, 2791/2, 2792/1, 2659, 2660, 2577, 2661, 2662, 2575, 2654, 2655, 2656, 2657, 2658, 2583, 2574, 2573, 2589, 2605, 2678, 2688, 2692, 2693, 2664, 2599, 2582, 2669, 2670, 2584, 2671, 2672, 2579, 2580, 2581, 2667,2668, 2578, 2566, 2587, 2606/1, 2791/1, 2792/3, 2792/4, 2597, 2861/1, 2861/3, 2690, 2696, 2591/1, 2591/2, 2665, 2666, 2676, 2681, 2686, 2682, 2685, 2697, 2790, 2795, 2694, 2695, 2593, 2862/2, 3299, 3301, 2883, 2910, 2881, 2882, 2866, 2867, 2868, 2869, 2870, 2884, 2889, 2898/1, 2898/2, 2596, 2873, 2874, 2875, 2876, 2794/2, 2896, 2585,2673, 2674, 2890, 2586, 2675, 2909, 2922, 2899/2, 2895/2, 2888/2, 2897/3, 2897/4, 2907, 2900/2, 2864, 2865, 2911/2, 2914/2, 2885, 2908, 2901/2, 2913/2, 2912, 2576, 2592, 2595, 2568, 2569, 2570, 2640, 2651, 2653, 2588, 2677, 2679, 2590, 2598, 2680, 2687, 2682, 2684, 3300, 3302, 2861/2, 2861/4, 2871, 2872, 2879, 2878 w obrębie geodezyjnym Węglewice oraz działki nr 1, 5, 47/1, 44/1, 50/1, 54/1, 62/8, 67/3, 80/1, 83/1, 62/6, 71/3, 76/3, 88/2 w obrębie geodezyjnym Jeziorna. Powierzchnia samego lustra wody wyniesie 37,00 hektarów. Tereny przy zbiorniku stanowiące własność prywatną jak i gminna również planuje się do zainwestowania pod rekreacje, wypoczynek  i pod rozwój turystyki. Na ternie innych gmin w woj. łódzkim np. nad Zbiornikiem Jeziorsko istnieje zabudowa w innej odległości niż rekomendowana </w:t>
      </w:r>
      <w:r w:rsidRPr="005B4F5C">
        <w:rPr>
          <w:rFonts w:eastAsia="Times New Roman" w:cstheme="minorHAnsi"/>
          <w:color w:val="000000"/>
          <w:sz w:val="24"/>
          <w:szCs w:val="24"/>
          <w:u w:color="000000"/>
        </w:rPr>
        <w:lastRenderedPageBreak/>
        <w:t>w opiniowanym projekcie  Audytu krajobrazowego. Zapisy projektu Audytu krajobrazowego pozbawić mogą Gminę Galewice możliwości zagospodarowania terenów rekreacyjnych, które będą stanowiły podstawę turystyczną oferty gminy Galewice. Co wpłynie na brak wpływów podatkowych, spowolnienie rozwoju infrastruktury oraz spowolnienie gospodarcze gminy. Podpisano dokument z Państwowym Gospodarstwem Wodnym Wody Polskie dotyczy podjęcia współpracy w zakresie realizacji budowy zbiornika retencyjnego. Istotnym problemem jest też wykluczenie możliwości lokalizacji obiektów usługowych (handlowych i gastronomicznych) o charakterze sezonowym i nie trwałej formie (namioty, przyczepy, wiaty, za wyjątkiem służących do krótkotrwałej obsługi imprez i wydarzeń ( z zaleceniem ich estetyzacji i ujednolicenia). Postuluję dodanie jako dopuszczalnych wyjątków obiektów usług gastronomicznych oraz wszelkich obiektów związanych  z terenem przy planowanym zbiorniku OKOŃ.</w:t>
      </w:r>
    </w:p>
    <w:p w14:paraId="72A5F86A" w14:textId="77777777" w:rsidR="005B4F5C" w:rsidRPr="005B4F5C" w:rsidRDefault="005B4F5C" w:rsidP="005B4F5C">
      <w:pPr>
        <w:keepLines/>
        <w:spacing w:before="120" w:after="120"/>
        <w:ind w:firstLine="340"/>
        <w:jc w:val="both"/>
        <w:rPr>
          <w:rFonts w:cstheme="minorHAnsi"/>
          <w:color w:val="000000"/>
          <w:sz w:val="24"/>
          <w:szCs w:val="24"/>
          <w:u w:color="000000"/>
        </w:rPr>
      </w:pPr>
      <w:r w:rsidRPr="005B4F5C">
        <w:rPr>
          <w:rFonts w:eastAsia="Times New Roman" w:cstheme="minorHAnsi"/>
          <w:sz w:val="24"/>
          <w:szCs w:val="24"/>
        </w:rPr>
        <w:t>3. </w:t>
      </w:r>
      <w:r w:rsidRPr="005B4F5C">
        <w:rPr>
          <w:rFonts w:eastAsia="Times New Roman" w:cstheme="minorHAnsi"/>
          <w:b/>
          <w:color w:val="000000"/>
          <w:sz w:val="24"/>
          <w:szCs w:val="24"/>
          <w:u w:color="000000"/>
        </w:rPr>
        <w:t>Krajobraz priorytetowy Węglewice - krajobraz wiejski  kod obszaru 10-318.21-33 - postulaty:</w:t>
      </w:r>
    </w:p>
    <w:p w14:paraId="6437ECC6"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·ograniczenie zasad kształtowania form budynków, z uwzględnieniem lokalnych form architektonicznych zabudowy wyłącznie do zabudowy o funkcji mieszkaniowej;</w:t>
      </w:r>
    </w:p>
    <w:p w14:paraId="508341EB"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·ograniczenie zakazu stosowania ogrodzeń z prefabrykatów płyt betonowych wyłącznie od strony dróg publicznych.</w:t>
      </w:r>
    </w:p>
    <w:p w14:paraId="5684B3FB"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Uwagi do treści zawartych w rozdziale D (str.17) Pkt. I „Zestawienie lokalnych form architektonicznych zabudowy”  w zakresie charakterystyki obszarów zabudowanych wyróżniających się lokalną formą architektoniczną. Brak jest spójności obszarowej co do wytypowanych obiektów będących podstawą wyznaczenia LFA zabudowy, pod względem ich architektury.  Z wytypowanych budynków przy ulicy Kopernika 23; 25, 29, i ulicy Zachodniej nr: 6, 8, opisanych w obrębie jednej kary o typie zabudowy – dom drewniany, są tylko dwa budynki drewniane </w:t>
      </w:r>
      <w:proofErr w:type="spellStart"/>
      <w:r w:rsidRPr="005B4F5C">
        <w:rPr>
          <w:rFonts w:eastAsia="Times New Roman" w:cstheme="minorHAnsi"/>
          <w:color w:val="000000"/>
          <w:sz w:val="24"/>
          <w:szCs w:val="24"/>
          <w:u w:color="000000"/>
        </w:rPr>
        <w:t>tj</w:t>
      </w:r>
      <w:proofErr w:type="spellEnd"/>
      <w:r w:rsidRPr="005B4F5C">
        <w:rPr>
          <w:rFonts w:eastAsia="Times New Roman" w:cstheme="minorHAnsi"/>
          <w:color w:val="000000"/>
          <w:sz w:val="24"/>
          <w:szCs w:val="24"/>
          <w:u w:color="000000"/>
        </w:rPr>
        <w:t>; przy drodze głównej ul. Kopernika nr 29 i przy ul. Zachodniej 6 (w załączeniu dokumentacja zdjęciowa). Stan zabudowań przedstawiony w </w:t>
      </w:r>
      <w:proofErr w:type="spellStart"/>
      <w:r w:rsidRPr="005B4F5C">
        <w:rPr>
          <w:rFonts w:eastAsia="Times New Roman" w:cstheme="minorHAnsi"/>
          <w:color w:val="000000"/>
          <w:sz w:val="24"/>
          <w:szCs w:val="24"/>
          <w:u w:color="000000"/>
        </w:rPr>
        <w:t>Googlemaps</w:t>
      </w:r>
      <w:proofErr w:type="spellEnd"/>
      <w:r w:rsidRPr="005B4F5C">
        <w:rPr>
          <w:rFonts w:eastAsia="Times New Roman" w:cstheme="minorHAnsi"/>
          <w:color w:val="000000"/>
          <w:sz w:val="24"/>
          <w:szCs w:val="24"/>
          <w:u w:color="000000"/>
        </w:rPr>
        <w:t xml:space="preserve"> jest nieaktualny sprzed wielu lat. Ponadto żaden z budynków wytypowanych o numerach porządkowych  23, 25, 29 oraz 6 i 8  nie jest wpisany do Gminnej Ewidencji Zabytków, a jest to kryterium brane pod uwagę przy typowaniu LFA zabudowy. Układ ruralistyczny Węglewic nie jest wpisany do Rejestru Zabytków.</w:t>
      </w:r>
    </w:p>
    <w:p w14:paraId="3BF97555"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Zdjęcie: ul. Kopernika 23 i 25</w:t>
      </w:r>
    </w:p>
    <w:p w14:paraId="6C170CDA"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cstheme="minorHAnsi"/>
          <w:noProof/>
          <w:color w:val="000000"/>
          <w:sz w:val="24"/>
          <w:szCs w:val="24"/>
          <w:u w:color="000000"/>
        </w:rPr>
        <w:lastRenderedPageBreak/>
        <w:drawing>
          <wp:inline distT="0" distB="0" distL="0" distR="0" wp14:anchorId="4FBF4F1B" wp14:editId="794A8BD5">
            <wp:extent cx="6251934" cy="3532343"/>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r:link="rId25"/>
                    <a:stretch>
                      <a:fillRect/>
                    </a:stretch>
                  </pic:blipFill>
                  <pic:spPr>
                    <a:xfrm>
                      <a:off x="0" y="0"/>
                      <a:ext cx="6251934" cy="3532343"/>
                    </a:xfrm>
                    <a:prstGeom prst="rect">
                      <a:avLst/>
                    </a:prstGeom>
                  </pic:spPr>
                </pic:pic>
              </a:graphicData>
            </a:graphic>
          </wp:inline>
        </w:drawing>
      </w:r>
    </w:p>
    <w:p w14:paraId="4B54F244"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ul. Zachodnia 8</w:t>
      </w:r>
    </w:p>
    <w:p w14:paraId="14DF0A46"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cstheme="minorHAnsi"/>
          <w:noProof/>
          <w:color w:val="000000"/>
          <w:sz w:val="24"/>
          <w:szCs w:val="24"/>
          <w:u w:color="000000"/>
        </w:rPr>
        <w:drawing>
          <wp:inline distT="0" distB="0" distL="0" distR="0" wp14:anchorId="3BE36018" wp14:editId="1CEA39FC">
            <wp:extent cx="6251934" cy="3532343"/>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r:link="rId26"/>
                    <a:stretch>
                      <a:fillRect/>
                    </a:stretch>
                  </pic:blipFill>
                  <pic:spPr>
                    <a:xfrm>
                      <a:off x="0" y="0"/>
                      <a:ext cx="6251934" cy="3532343"/>
                    </a:xfrm>
                    <a:prstGeom prst="rect">
                      <a:avLst/>
                    </a:prstGeom>
                  </pic:spPr>
                </pic:pic>
              </a:graphicData>
            </a:graphic>
          </wp:inline>
        </w:drawing>
      </w:r>
    </w:p>
    <w:p w14:paraId="4B99E4AA"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Drewniany budynek- ul. Zachodnia 6</w:t>
      </w:r>
    </w:p>
    <w:p w14:paraId="69E6214D"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cstheme="minorHAnsi"/>
          <w:noProof/>
          <w:color w:val="000000"/>
          <w:sz w:val="24"/>
          <w:szCs w:val="24"/>
          <w:u w:color="000000"/>
        </w:rPr>
        <w:lastRenderedPageBreak/>
        <w:drawing>
          <wp:inline distT="0" distB="0" distL="0" distR="0" wp14:anchorId="60BF340A" wp14:editId="223C4604">
            <wp:extent cx="6251934" cy="3532343"/>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r:link="rId27"/>
                    <a:stretch>
                      <a:fillRect/>
                    </a:stretch>
                  </pic:blipFill>
                  <pic:spPr>
                    <a:xfrm>
                      <a:off x="0" y="0"/>
                      <a:ext cx="6251934" cy="3532343"/>
                    </a:xfrm>
                    <a:prstGeom prst="rect">
                      <a:avLst/>
                    </a:prstGeom>
                  </pic:spPr>
                </pic:pic>
              </a:graphicData>
            </a:graphic>
          </wp:inline>
        </w:drawing>
      </w:r>
    </w:p>
    <w:p w14:paraId="3C98751E" w14:textId="77777777" w:rsidR="005B4F5C" w:rsidRPr="005B4F5C" w:rsidRDefault="005B4F5C" w:rsidP="005B4F5C">
      <w:pPr>
        <w:spacing w:before="120" w:after="120"/>
        <w:ind w:firstLine="227"/>
        <w:jc w:val="both"/>
        <w:rPr>
          <w:rFonts w:cstheme="minorHAnsi"/>
          <w:color w:val="000000"/>
          <w:sz w:val="24"/>
          <w:szCs w:val="24"/>
          <w:u w:color="000000"/>
        </w:rPr>
      </w:pPr>
      <w:r w:rsidRPr="005B4F5C">
        <w:rPr>
          <w:rFonts w:eastAsia="Times New Roman" w:cstheme="minorHAnsi"/>
          <w:color w:val="000000"/>
          <w:sz w:val="24"/>
          <w:szCs w:val="24"/>
          <w:u w:color="000000"/>
        </w:rPr>
        <w:t xml:space="preserve">Uwaga do </w:t>
      </w:r>
      <w:proofErr w:type="spellStart"/>
      <w:r w:rsidRPr="005B4F5C">
        <w:rPr>
          <w:rFonts w:eastAsia="Times New Roman" w:cstheme="minorHAnsi"/>
          <w:color w:val="000000"/>
          <w:sz w:val="24"/>
          <w:szCs w:val="24"/>
          <w:u w:color="000000"/>
        </w:rPr>
        <w:t>ppkt</w:t>
      </w:r>
      <w:proofErr w:type="spellEnd"/>
      <w:r w:rsidRPr="005B4F5C">
        <w:rPr>
          <w:rFonts w:eastAsia="Times New Roman" w:cstheme="minorHAnsi"/>
          <w:color w:val="000000"/>
          <w:sz w:val="24"/>
          <w:szCs w:val="24"/>
          <w:u w:color="000000"/>
        </w:rPr>
        <w:t xml:space="preserve">. 8 (str.12)  Charakterystyczne cechy elewacji budynków, z uwzględnieniem lokalnych form architektonicznych zabudowy. „Lokalizowanie urządzeń technicznych (m.in. panele fotowoltaiczne, anteny, klimatyzatory, urządzenia wentylacyjne) w sposób niezakłócający odbioru wizualnego z przestrzeni publicznych. Proponuje o zmodyfikować zapis na: rekomenduje się  lokalizowanie urządzeń technicznych (m.in. panele fotowoltaiczne, anteny, klimatyzatory, urządzenia wentylacyjne) w sposób niezakłócający odbioru wizualnego z przestrzeni publicznych; w przypadku braku innych możliwości technicznych dopuszcza się lokalizację takich urządzeń na elewacjach frontowych (dotyczy również </w:t>
      </w:r>
      <w:proofErr w:type="spellStart"/>
      <w:r w:rsidRPr="005B4F5C">
        <w:rPr>
          <w:rFonts w:eastAsia="Times New Roman" w:cstheme="minorHAnsi"/>
          <w:color w:val="000000"/>
          <w:sz w:val="24"/>
          <w:szCs w:val="24"/>
          <w:u w:color="000000"/>
        </w:rPr>
        <w:t>fotowolaiki</w:t>
      </w:r>
      <w:proofErr w:type="spellEnd"/>
      <w:r w:rsidRPr="005B4F5C">
        <w:rPr>
          <w:rFonts w:eastAsia="Times New Roman" w:cstheme="minorHAnsi"/>
          <w:color w:val="000000"/>
          <w:sz w:val="24"/>
          <w:szCs w:val="24"/>
          <w:u w:color="000000"/>
        </w:rPr>
        <w:t>), utrzymuje się  istniejące urządzenia techniczne na elewacjach frontowych. Zapis w tej formie wskazuje najbardziej pożądaną formę realizacji urządzeń technicznych na elewacjach frontowych , pozwalając jednocześnie ( w razie zaistnienia takiej potrzeby ) na odstępstwa i utrzymanie istniejących urządzeń.</w:t>
      </w:r>
    </w:p>
    <w:p w14:paraId="3FD1DA30" w14:textId="72CD702F" w:rsidR="005B4F5C" w:rsidRPr="005B4F5C" w:rsidRDefault="005B4F5C" w:rsidP="005B4F5C">
      <w:pPr>
        <w:spacing w:before="120" w:after="120"/>
        <w:ind w:firstLine="227"/>
        <w:jc w:val="both"/>
        <w:rPr>
          <w:rFonts w:cstheme="minorHAnsi"/>
          <w:color w:val="000000"/>
          <w:sz w:val="24"/>
          <w:szCs w:val="24"/>
          <w:u w:color="000000"/>
        </w:rPr>
        <w:sectPr w:rsidR="005B4F5C" w:rsidRPr="005B4F5C" w:rsidSect="005B4F5C">
          <w:footerReference w:type="default" r:id="rId28"/>
          <w:endnotePr>
            <w:numFmt w:val="decimal"/>
          </w:endnotePr>
          <w:pgSz w:w="11906" w:h="16838"/>
          <w:pgMar w:top="1417" w:right="1020" w:bottom="992" w:left="1020" w:header="708" w:footer="708" w:gutter="0"/>
          <w:pgNumType w:start="1"/>
          <w:cols w:space="708"/>
          <w:docGrid w:linePitch="360"/>
        </w:sectPr>
      </w:pPr>
      <w:proofErr w:type="spellStart"/>
      <w:r w:rsidRPr="005B4F5C">
        <w:rPr>
          <w:rFonts w:eastAsia="Times New Roman" w:cstheme="minorHAnsi"/>
          <w:color w:val="000000"/>
          <w:sz w:val="24"/>
          <w:szCs w:val="24"/>
          <w:u w:color="000000"/>
        </w:rPr>
        <w:t>Ppkt</w:t>
      </w:r>
      <w:proofErr w:type="spellEnd"/>
      <w:r w:rsidRPr="005B4F5C">
        <w:rPr>
          <w:rFonts w:eastAsia="Times New Roman" w:cstheme="minorHAnsi"/>
          <w:color w:val="000000"/>
          <w:sz w:val="24"/>
          <w:szCs w:val="24"/>
          <w:u w:color="000000"/>
        </w:rPr>
        <w:t>. 10 (str.12) Zasady i warunki dotyczące sytuowania obiektów małej architektury, tablic reklamowych i urządzeń reklamowych oraz ogrodzeń, ich gabarytów, standardów jakościowych oraz rodzaje materiałów budowlanych, z uwzględnieniem lokalnych form architektonicznych, w tym dla przestrzeni dostępnych publicznie. Rekomendację: „Ograniczenie przestrzeni umieszczania reklam i urządzeń reklamowych do ściśle określonych partii budynku i ogrodzenia, z wykluczeniem stosowania w sposób przesłaniający elementy konstrukcyjne i zdobnicze budynku lub zakłócający kompozycję urządzenia” należ usunąć. Proponujemy wprowadzić zapis: dopuszcza się wolnostojące tablice reklamowe i banery na terenie posesji, na której funkcjonuje reklamowany podmiot gospodarczy, świadczona jest reklamowana usługa czy produkowany jest reklamowany produkt. Uzasadnienie – stwarza możliwość realizacji reklam wolnostojących w sytuacji gdy mieszkańcy nie będą mieli możliwości realizacji tablic reklamowych i banerów w części parterowej budynków lub w sytuacji gdy budynek jest cofnięty w głąb działki. Wnosimy również o usunięcie Zakazu stosowania ogrodzeń z prefabrykowanych płyt betonowych. Zapis ogranicza możliwości mieszkańców w sposobie realizacji nowych ogrodzeń i utrzymania istniejącyc</w:t>
      </w:r>
      <w:r>
        <w:rPr>
          <w:rFonts w:eastAsia="Times New Roman" w:cstheme="minorHAnsi"/>
          <w:color w:val="000000"/>
          <w:sz w:val="24"/>
          <w:szCs w:val="24"/>
          <w:u w:color="000000"/>
        </w:rPr>
        <w:t>h</w:t>
      </w:r>
    </w:p>
    <w:p w14:paraId="4F94ABA6" w14:textId="6321A999" w:rsidR="00416E29" w:rsidRPr="005B4F5C" w:rsidRDefault="00416E29" w:rsidP="005B4F5C">
      <w:pPr>
        <w:jc w:val="both"/>
        <w:rPr>
          <w:rFonts w:cstheme="minorHAnsi"/>
          <w:color w:val="000000"/>
          <w:sz w:val="24"/>
          <w:szCs w:val="24"/>
          <w:shd w:val="clear" w:color="auto" w:fill="FFFFFF"/>
        </w:rPr>
      </w:pPr>
    </w:p>
    <w:sectPr w:rsidR="00416E29" w:rsidRPr="005B4F5C" w:rsidSect="005B4F5C">
      <w:footerReference w:type="default" r:id="rId29"/>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BAE58" w14:textId="77777777" w:rsidR="00974E0E" w:rsidRDefault="00974E0E" w:rsidP="005B4F5C">
      <w:pPr>
        <w:spacing w:after="0" w:line="240" w:lineRule="auto"/>
      </w:pPr>
      <w:r>
        <w:separator/>
      </w:r>
    </w:p>
  </w:endnote>
  <w:endnote w:type="continuationSeparator" w:id="0">
    <w:p w14:paraId="129723A1" w14:textId="77777777" w:rsidR="00974E0E" w:rsidRDefault="00974E0E" w:rsidP="005B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0FF1C" w14:textId="77777777" w:rsidR="00000000" w:rsidRDefault="00000000">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46D1F" w14:textId="77777777" w:rsidR="00000000" w:rsidRDefault="00000000">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CC63C" w14:textId="77777777" w:rsidR="00974E0E" w:rsidRDefault="00974E0E" w:rsidP="005B4F5C">
      <w:pPr>
        <w:spacing w:after="0" w:line="240" w:lineRule="auto"/>
      </w:pPr>
      <w:r>
        <w:separator/>
      </w:r>
    </w:p>
  </w:footnote>
  <w:footnote w:type="continuationSeparator" w:id="0">
    <w:p w14:paraId="645323BF" w14:textId="77777777" w:rsidR="00974E0E" w:rsidRDefault="00974E0E" w:rsidP="005B4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34F83"/>
    <w:multiLevelType w:val="hybridMultilevel"/>
    <w:tmpl w:val="978EBAA4"/>
    <w:lvl w:ilvl="0" w:tplc="57DAD2C6">
      <w:start w:val="1"/>
      <w:numFmt w:val="lowerLetter"/>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79D4EBD"/>
    <w:multiLevelType w:val="hybridMultilevel"/>
    <w:tmpl w:val="3BB4D6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D8040A"/>
    <w:multiLevelType w:val="multilevel"/>
    <w:tmpl w:val="50E28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5429C"/>
    <w:multiLevelType w:val="hybridMultilevel"/>
    <w:tmpl w:val="5E684368"/>
    <w:lvl w:ilvl="0" w:tplc="42B81A0E">
      <w:start w:val="1"/>
      <w:numFmt w:val="decimal"/>
      <w:lvlText w:val="%1."/>
      <w:lvlJc w:val="left"/>
      <w:pPr>
        <w:ind w:left="720" w:hanging="360"/>
      </w:pPr>
      <w:rPr>
        <w:rFonts w:hint="default"/>
        <w:b w:val="0"/>
        <w:b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5E7521"/>
    <w:multiLevelType w:val="hybridMultilevel"/>
    <w:tmpl w:val="E252E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677C05"/>
    <w:multiLevelType w:val="hybridMultilevel"/>
    <w:tmpl w:val="93ACD4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80100A"/>
    <w:multiLevelType w:val="hybridMultilevel"/>
    <w:tmpl w:val="2B32876E"/>
    <w:lvl w:ilvl="0" w:tplc="04150019">
      <w:start w:val="1"/>
      <w:numFmt w:val="lowerLetter"/>
      <w:lvlText w:val="%1."/>
      <w:lvlJc w:val="left"/>
      <w:pPr>
        <w:ind w:left="1505" w:hanging="360"/>
      </w:pPr>
    </w:lvl>
    <w:lvl w:ilvl="1" w:tplc="04150019" w:tentative="1">
      <w:start w:val="1"/>
      <w:numFmt w:val="lowerLetter"/>
      <w:lvlText w:val="%2."/>
      <w:lvlJc w:val="left"/>
      <w:pPr>
        <w:ind w:left="2225" w:hanging="360"/>
      </w:pPr>
    </w:lvl>
    <w:lvl w:ilvl="2" w:tplc="0415001B" w:tentative="1">
      <w:start w:val="1"/>
      <w:numFmt w:val="lowerRoman"/>
      <w:lvlText w:val="%3."/>
      <w:lvlJc w:val="right"/>
      <w:pPr>
        <w:ind w:left="2945" w:hanging="180"/>
      </w:pPr>
    </w:lvl>
    <w:lvl w:ilvl="3" w:tplc="0415000F" w:tentative="1">
      <w:start w:val="1"/>
      <w:numFmt w:val="decimal"/>
      <w:lvlText w:val="%4."/>
      <w:lvlJc w:val="left"/>
      <w:pPr>
        <w:ind w:left="3665" w:hanging="360"/>
      </w:pPr>
    </w:lvl>
    <w:lvl w:ilvl="4" w:tplc="04150019" w:tentative="1">
      <w:start w:val="1"/>
      <w:numFmt w:val="lowerLetter"/>
      <w:lvlText w:val="%5."/>
      <w:lvlJc w:val="left"/>
      <w:pPr>
        <w:ind w:left="4385" w:hanging="360"/>
      </w:pPr>
    </w:lvl>
    <w:lvl w:ilvl="5" w:tplc="0415001B" w:tentative="1">
      <w:start w:val="1"/>
      <w:numFmt w:val="lowerRoman"/>
      <w:lvlText w:val="%6."/>
      <w:lvlJc w:val="right"/>
      <w:pPr>
        <w:ind w:left="5105" w:hanging="180"/>
      </w:pPr>
    </w:lvl>
    <w:lvl w:ilvl="6" w:tplc="0415000F" w:tentative="1">
      <w:start w:val="1"/>
      <w:numFmt w:val="decimal"/>
      <w:lvlText w:val="%7."/>
      <w:lvlJc w:val="left"/>
      <w:pPr>
        <w:ind w:left="5825" w:hanging="360"/>
      </w:pPr>
    </w:lvl>
    <w:lvl w:ilvl="7" w:tplc="04150019" w:tentative="1">
      <w:start w:val="1"/>
      <w:numFmt w:val="lowerLetter"/>
      <w:lvlText w:val="%8."/>
      <w:lvlJc w:val="left"/>
      <w:pPr>
        <w:ind w:left="6545" w:hanging="360"/>
      </w:pPr>
    </w:lvl>
    <w:lvl w:ilvl="8" w:tplc="0415001B" w:tentative="1">
      <w:start w:val="1"/>
      <w:numFmt w:val="lowerRoman"/>
      <w:lvlText w:val="%9."/>
      <w:lvlJc w:val="right"/>
      <w:pPr>
        <w:ind w:left="7265" w:hanging="180"/>
      </w:pPr>
    </w:lvl>
  </w:abstractNum>
  <w:abstractNum w:abstractNumId="7" w15:restartNumberingAfterBreak="0">
    <w:nsid w:val="195B6D95"/>
    <w:multiLevelType w:val="hybridMultilevel"/>
    <w:tmpl w:val="549A1E54"/>
    <w:lvl w:ilvl="0" w:tplc="24FA0E5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F4EE0E20">
      <w:start w:val="1"/>
      <w:numFmt w:val="decimal"/>
      <w:lvlText w:val="%4."/>
      <w:lvlJc w:val="left"/>
      <w:pPr>
        <w:ind w:left="502" w:hanging="360"/>
      </w:pPr>
      <w:rPr>
        <w:b w:val="0"/>
        <w:bCs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D66120F"/>
    <w:multiLevelType w:val="hybridMultilevel"/>
    <w:tmpl w:val="3FD418A4"/>
    <w:lvl w:ilvl="0" w:tplc="88A6DC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D646F3"/>
    <w:multiLevelType w:val="hybridMultilevel"/>
    <w:tmpl w:val="114030AE"/>
    <w:lvl w:ilvl="0" w:tplc="04150001">
      <w:start w:val="1"/>
      <w:numFmt w:val="bullet"/>
      <w:lvlText w:val=""/>
      <w:lvlJc w:val="left"/>
      <w:pPr>
        <w:ind w:left="3337" w:hanging="360"/>
      </w:pPr>
      <w:rPr>
        <w:rFonts w:ascii="Symbol" w:hAnsi="Symbol" w:hint="default"/>
      </w:rPr>
    </w:lvl>
    <w:lvl w:ilvl="1" w:tplc="04150003" w:tentative="1">
      <w:start w:val="1"/>
      <w:numFmt w:val="bullet"/>
      <w:lvlText w:val="o"/>
      <w:lvlJc w:val="left"/>
      <w:pPr>
        <w:ind w:left="4057" w:hanging="360"/>
      </w:pPr>
      <w:rPr>
        <w:rFonts w:ascii="Courier New" w:hAnsi="Courier New" w:cs="Courier New" w:hint="default"/>
      </w:rPr>
    </w:lvl>
    <w:lvl w:ilvl="2" w:tplc="04150005" w:tentative="1">
      <w:start w:val="1"/>
      <w:numFmt w:val="bullet"/>
      <w:lvlText w:val=""/>
      <w:lvlJc w:val="left"/>
      <w:pPr>
        <w:ind w:left="4777" w:hanging="360"/>
      </w:pPr>
      <w:rPr>
        <w:rFonts w:ascii="Wingdings" w:hAnsi="Wingdings" w:hint="default"/>
      </w:rPr>
    </w:lvl>
    <w:lvl w:ilvl="3" w:tplc="04150001" w:tentative="1">
      <w:start w:val="1"/>
      <w:numFmt w:val="bullet"/>
      <w:lvlText w:val=""/>
      <w:lvlJc w:val="left"/>
      <w:pPr>
        <w:ind w:left="5497" w:hanging="360"/>
      </w:pPr>
      <w:rPr>
        <w:rFonts w:ascii="Symbol" w:hAnsi="Symbol" w:hint="default"/>
      </w:rPr>
    </w:lvl>
    <w:lvl w:ilvl="4" w:tplc="04150003" w:tentative="1">
      <w:start w:val="1"/>
      <w:numFmt w:val="bullet"/>
      <w:lvlText w:val="o"/>
      <w:lvlJc w:val="left"/>
      <w:pPr>
        <w:ind w:left="6217" w:hanging="360"/>
      </w:pPr>
      <w:rPr>
        <w:rFonts w:ascii="Courier New" w:hAnsi="Courier New" w:cs="Courier New" w:hint="default"/>
      </w:rPr>
    </w:lvl>
    <w:lvl w:ilvl="5" w:tplc="04150005" w:tentative="1">
      <w:start w:val="1"/>
      <w:numFmt w:val="bullet"/>
      <w:lvlText w:val=""/>
      <w:lvlJc w:val="left"/>
      <w:pPr>
        <w:ind w:left="6937" w:hanging="360"/>
      </w:pPr>
      <w:rPr>
        <w:rFonts w:ascii="Wingdings" w:hAnsi="Wingdings" w:hint="default"/>
      </w:rPr>
    </w:lvl>
    <w:lvl w:ilvl="6" w:tplc="04150001" w:tentative="1">
      <w:start w:val="1"/>
      <w:numFmt w:val="bullet"/>
      <w:lvlText w:val=""/>
      <w:lvlJc w:val="left"/>
      <w:pPr>
        <w:ind w:left="7657" w:hanging="360"/>
      </w:pPr>
      <w:rPr>
        <w:rFonts w:ascii="Symbol" w:hAnsi="Symbol" w:hint="default"/>
      </w:rPr>
    </w:lvl>
    <w:lvl w:ilvl="7" w:tplc="04150003" w:tentative="1">
      <w:start w:val="1"/>
      <w:numFmt w:val="bullet"/>
      <w:lvlText w:val="o"/>
      <w:lvlJc w:val="left"/>
      <w:pPr>
        <w:ind w:left="8377" w:hanging="360"/>
      </w:pPr>
      <w:rPr>
        <w:rFonts w:ascii="Courier New" w:hAnsi="Courier New" w:cs="Courier New" w:hint="default"/>
      </w:rPr>
    </w:lvl>
    <w:lvl w:ilvl="8" w:tplc="04150005" w:tentative="1">
      <w:start w:val="1"/>
      <w:numFmt w:val="bullet"/>
      <w:lvlText w:val=""/>
      <w:lvlJc w:val="left"/>
      <w:pPr>
        <w:ind w:left="9097" w:hanging="360"/>
      </w:pPr>
      <w:rPr>
        <w:rFonts w:ascii="Wingdings" w:hAnsi="Wingdings" w:hint="default"/>
      </w:rPr>
    </w:lvl>
  </w:abstractNum>
  <w:abstractNum w:abstractNumId="10" w15:restartNumberingAfterBreak="0">
    <w:nsid w:val="202D1E3E"/>
    <w:multiLevelType w:val="hybridMultilevel"/>
    <w:tmpl w:val="BF1C10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0DD70BF"/>
    <w:multiLevelType w:val="hybridMultilevel"/>
    <w:tmpl w:val="D15EB6DE"/>
    <w:lvl w:ilvl="0" w:tplc="6014604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72449D1"/>
    <w:multiLevelType w:val="hybridMultilevel"/>
    <w:tmpl w:val="2F72AD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593080"/>
    <w:multiLevelType w:val="hybridMultilevel"/>
    <w:tmpl w:val="3C0CEC38"/>
    <w:lvl w:ilvl="0" w:tplc="8D0807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ACC00F1"/>
    <w:multiLevelType w:val="hybridMultilevel"/>
    <w:tmpl w:val="983469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BA101FC"/>
    <w:multiLevelType w:val="hybridMultilevel"/>
    <w:tmpl w:val="1C380410"/>
    <w:lvl w:ilvl="0" w:tplc="0415000F">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0E609E"/>
    <w:multiLevelType w:val="hybridMultilevel"/>
    <w:tmpl w:val="A0C8CAA4"/>
    <w:lvl w:ilvl="0" w:tplc="00341BD8">
      <w:start w:val="1"/>
      <w:numFmt w:val="lowerLetter"/>
      <w:lvlText w:val="%1)"/>
      <w:lvlJc w:val="left"/>
      <w:pPr>
        <w:ind w:left="1145" w:hanging="360"/>
      </w:pPr>
      <w:rPr>
        <w:rFonts w:asciiTheme="minorHAnsi" w:eastAsiaTheme="minorHAnsi" w:hAnsiTheme="minorHAnsi" w:cstheme="minorBidi" w:hint="default"/>
        <w:sz w:val="20"/>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7" w15:restartNumberingAfterBreak="0">
    <w:nsid w:val="2FE05345"/>
    <w:multiLevelType w:val="hybridMultilevel"/>
    <w:tmpl w:val="8FA66DC0"/>
    <w:lvl w:ilvl="0" w:tplc="9D9A82B2">
      <w:start w:val="1"/>
      <w:numFmt w:val="decimal"/>
      <w:lvlText w:val="%1."/>
      <w:lvlJc w:val="left"/>
      <w:pPr>
        <w:ind w:left="785" w:hanging="360"/>
      </w:pPr>
      <w:rPr>
        <w:rFonts w:eastAsiaTheme="majorEastAsi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750CBC"/>
    <w:multiLevelType w:val="hybridMultilevel"/>
    <w:tmpl w:val="A26A52DA"/>
    <w:lvl w:ilvl="0" w:tplc="C4BAD042">
      <w:start w:val="1"/>
      <w:numFmt w:val="lowerLetter"/>
      <w:lvlText w:val="%1)"/>
      <w:lvlJc w:val="left"/>
      <w:pPr>
        <w:ind w:left="720" w:hanging="360"/>
      </w:pPr>
      <w:rPr>
        <w:rFonts w:ascii="Calibri" w:eastAsiaTheme="minorHAns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67186D"/>
    <w:multiLevelType w:val="hybridMultilevel"/>
    <w:tmpl w:val="E438CFE4"/>
    <w:lvl w:ilvl="0" w:tplc="04150017">
      <w:start w:val="3"/>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 w15:restartNumberingAfterBreak="0">
    <w:nsid w:val="3C5E15EA"/>
    <w:multiLevelType w:val="hybridMultilevel"/>
    <w:tmpl w:val="591ABF70"/>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21" w15:restartNumberingAfterBreak="0">
    <w:nsid w:val="44EB3975"/>
    <w:multiLevelType w:val="hybridMultilevel"/>
    <w:tmpl w:val="73A02F1E"/>
    <w:lvl w:ilvl="0" w:tplc="B8F66C70">
      <w:start w:val="1"/>
      <w:numFmt w:val="upp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2" w15:restartNumberingAfterBreak="0">
    <w:nsid w:val="47387A48"/>
    <w:multiLevelType w:val="hybridMultilevel"/>
    <w:tmpl w:val="A94E93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FE658A"/>
    <w:multiLevelType w:val="hybridMultilevel"/>
    <w:tmpl w:val="06961C28"/>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A86389D"/>
    <w:multiLevelType w:val="hybridMultilevel"/>
    <w:tmpl w:val="64BAD036"/>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9C78A0"/>
    <w:multiLevelType w:val="hybridMultilevel"/>
    <w:tmpl w:val="CD4C89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B53295"/>
    <w:multiLevelType w:val="hybridMultilevel"/>
    <w:tmpl w:val="9B520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4835CF"/>
    <w:multiLevelType w:val="hybridMultilevel"/>
    <w:tmpl w:val="5C860414"/>
    <w:lvl w:ilvl="0" w:tplc="DB526E20">
      <w:start w:val="1"/>
      <w:numFmt w:val="decimal"/>
      <w:lvlText w:val="%1."/>
      <w:lvlJc w:val="left"/>
      <w:pPr>
        <w:ind w:left="720" w:hanging="360"/>
      </w:pPr>
      <w:rPr>
        <w:rFonts w:hint="default"/>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474CA5"/>
    <w:multiLevelType w:val="hybridMultilevel"/>
    <w:tmpl w:val="64F2239E"/>
    <w:lvl w:ilvl="0" w:tplc="5A027712">
      <w:start w:val="1"/>
      <w:numFmt w:val="decimal"/>
      <w:lvlText w:val="%1."/>
      <w:lvlJc w:val="left"/>
      <w:pPr>
        <w:ind w:left="360" w:hanging="360"/>
      </w:pPr>
      <w:rPr>
        <w:rFonts w:ascii="Calibri" w:hAnsi="Calibri" w:cs="Times New Roman"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36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15:restartNumberingAfterBreak="0">
    <w:nsid w:val="5A8E3F0B"/>
    <w:multiLevelType w:val="hybridMultilevel"/>
    <w:tmpl w:val="815E58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5A9C4E4B"/>
    <w:multiLevelType w:val="hybridMultilevel"/>
    <w:tmpl w:val="C6868D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5E890642"/>
    <w:multiLevelType w:val="hybridMultilevel"/>
    <w:tmpl w:val="35EE57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63E18C3"/>
    <w:multiLevelType w:val="hybridMultilevel"/>
    <w:tmpl w:val="38A6B502"/>
    <w:lvl w:ilvl="0" w:tplc="335CD7C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B834380"/>
    <w:multiLevelType w:val="hybridMultilevel"/>
    <w:tmpl w:val="90243D3C"/>
    <w:lvl w:ilvl="0" w:tplc="81980340">
      <w:start w:val="1"/>
      <w:numFmt w:val="lowerLetter"/>
      <w:lvlText w:val="%1)"/>
      <w:lvlJc w:val="left"/>
      <w:pPr>
        <w:ind w:left="1080" w:hanging="360"/>
      </w:pPr>
      <w:rPr>
        <w:rFonts w:asciiTheme="minorHAnsi" w:eastAsiaTheme="minorHAnsi" w:hAnsiTheme="minorHAnsi" w:cstheme="minorBidi"/>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BC10C83"/>
    <w:multiLevelType w:val="multilevel"/>
    <w:tmpl w:val="49CC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9105F"/>
    <w:multiLevelType w:val="hybridMultilevel"/>
    <w:tmpl w:val="8B5CE94A"/>
    <w:lvl w:ilvl="0" w:tplc="B6A45F5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71D1208D"/>
    <w:multiLevelType w:val="hybridMultilevel"/>
    <w:tmpl w:val="9FEEF6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8146EE"/>
    <w:multiLevelType w:val="hybridMultilevel"/>
    <w:tmpl w:val="7904FBDA"/>
    <w:lvl w:ilvl="0" w:tplc="9208C75A">
      <w:start w:val="1"/>
      <w:numFmt w:val="decimal"/>
      <w:lvlText w:val="%1."/>
      <w:lvlJc w:val="left"/>
      <w:pPr>
        <w:ind w:left="720" w:hanging="360"/>
      </w:pPr>
      <w:rPr>
        <w:rFonts w:hint="default"/>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985F9A"/>
    <w:multiLevelType w:val="hybridMultilevel"/>
    <w:tmpl w:val="E2B031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40095383">
    <w:abstractNumId w:val="18"/>
  </w:num>
  <w:num w:numId="2" w16cid:durableId="2129351180">
    <w:abstractNumId w:val="26"/>
  </w:num>
  <w:num w:numId="3" w16cid:durableId="1059090096">
    <w:abstractNumId w:val="12"/>
  </w:num>
  <w:num w:numId="4" w16cid:durableId="1460224604">
    <w:abstractNumId w:val="0"/>
  </w:num>
  <w:num w:numId="5" w16cid:durableId="591089940">
    <w:abstractNumId w:val="17"/>
  </w:num>
  <w:num w:numId="6" w16cid:durableId="215168159">
    <w:abstractNumId w:val="21"/>
  </w:num>
  <w:num w:numId="7" w16cid:durableId="1538161977">
    <w:abstractNumId w:val="6"/>
  </w:num>
  <w:num w:numId="8" w16cid:durableId="438109321">
    <w:abstractNumId w:val="16"/>
  </w:num>
  <w:num w:numId="9" w16cid:durableId="1204173570">
    <w:abstractNumId w:val="28"/>
  </w:num>
  <w:num w:numId="10" w16cid:durableId="744104910">
    <w:abstractNumId w:val="3"/>
  </w:num>
  <w:num w:numId="11" w16cid:durableId="495922561">
    <w:abstractNumId w:val="2"/>
  </w:num>
  <w:num w:numId="12" w16cid:durableId="876041287">
    <w:abstractNumId w:val="28"/>
  </w:num>
  <w:num w:numId="13" w16cid:durableId="240678262">
    <w:abstractNumId w:val="34"/>
  </w:num>
  <w:num w:numId="14" w16cid:durableId="1132941389">
    <w:abstractNumId w:val="37"/>
  </w:num>
  <w:num w:numId="15" w16cid:durableId="131287879">
    <w:abstractNumId w:val="36"/>
  </w:num>
  <w:num w:numId="16" w16cid:durableId="1373844590">
    <w:abstractNumId w:val="31"/>
  </w:num>
  <w:num w:numId="17" w16cid:durableId="648092906">
    <w:abstractNumId w:val="33"/>
  </w:num>
  <w:num w:numId="18" w16cid:durableId="936518625">
    <w:abstractNumId w:val="27"/>
  </w:num>
  <w:num w:numId="19" w16cid:durableId="2649222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6702778">
    <w:abstractNumId w:val="9"/>
  </w:num>
  <w:num w:numId="21" w16cid:durableId="1817915656">
    <w:abstractNumId w:val="23"/>
  </w:num>
  <w:num w:numId="22" w16cid:durableId="1078484381">
    <w:abstractNumId w:val="4"/>
  </w:num>
  <w:num w:numId="23" w16cid:durableId="535854781">
    <w:abstractNumId w:val="32"/>
  </w:num>
  <w:num w:numId="24" w16cid:durableId="1672177069">
    <w:abstractNumId w:val="1"/>
  </w:num>
  <w:num w:numId="25" w16cid:durableId="917789299">
    <w:abstractNumId w:val="38"/>
  </w:num>
  <w:num w:numId="26" w16cid:durableId="1778596416">
    <w:abstractNumId w:val="14"/>
  </w:num>
  <w:num w:numId="27" w16cid:durableId="2047481330">
    <w:abstractNumId w:val="29"/>
  </w:num>
  <w:num w:numId="28" w16cid:durableId="2075201446">
    <w:abstractNumId w:val="20"/>
  </w:num>
  <w:num w:numId="29" w16cid:durableId="1880818884">
    <w:abstractNumId w:val="30"/>
  </w:num>
  <w:num w:numId="30" w16cid:durableId="1641767390">
    <w:abstractNumId w:val="22"/>
  </w:num>
  <w:num w:numId="31" w16cid:durableId="210502672">
    <w:abstractNumId w:val="7"/>
  </w:num>
  <w:num w:numId="32" w16cid:durableId="713501186">
    <w:abstractNumId w:val="7"/>
  </w:num>
  <w:num w:numId="33" w16cid:durableId="860554013">
    <w:abstractNumId w:val="15"/>
  </w:num>
  <w:num w:numId="34" w16cid:durableId="314840236">
    <w:abstractNumId w:val="24"/>
  </w:num>
  <w:num w:numId="35" w16cid:durableId="350882911">
    <w:abstractNumId w:val="35"/>
  </w:num>
  <w:num w:numId="36" w16cid:durableId="954485758">
    <w:abstractNumId w:val="8"/>
  </w:num>
  <w:num w:numId="37" w16cid:durableId="974993093">
    <w:abstractNumId w:val="25"/>
  </w:num>
  <w:num w:numId="38" w16cid:durableId="1521819037">
    <w:abstractNumId w:val="13"/>
  </w:num>
  <w:num w:numId="39" w16cid:durableId="392239543">
    <w:abstractNumId w:val="5"/>
  </w:num>
  <w:num w:numId="40" w16cid:durableId="1790467385">
    <w:abstractNumId w:val="11"/>
  </w:num>
  <w:num w:numId="41" w16cid:durableId="1850979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C4"/>
    <w:rsid w:val="00004DD4"/>
    <w:rsid w:val="00010B2D"/>
    <w:rsid w:val="00062CBC"/>
    <w:rsid w:val="00101E3B"/>
    <w:rsid w:val="00192B5B"/>
    <w:rsid w:val="001972C4"/>
    <w:rsid w:val="001E3B1C"/>
    <w:rsid w:val="002B02E8"/>
    <w:rsid w:val="002C7001"/>
    <w:rsid w:val="00301E0D"/>
    <w:rsid w:val="0030761E"/>
    <w:rsid w:val="003A395F"/>
    <w:rsid w:val="003A5B3C"/>
    <w:rsid w:val="00416E29"/>
    <w:rsid w:val="004316C1"/>
    <w:rsid w:val="00446A36"/>
    <w:rsid w:val="00467DCF"/>
    <w:rsid w:val="0047221C"/>
    <w:rsid w:val="004B6471"/>
    <w:rsid w:val="005022C2"/>
    <w:rsid w:val="00513105"/>
    <w:rsid w:val="00525518"/>
    <w:rsid w:val="00564AF0"/>
    <w:rsid w:val="005702E3"/>
    <w:rsid w:val="005B4F5C"/>
    <w:rsid w:val="00600EF2"/>
    <w:rsid w:val="00664980"/>
    <w:rsid w:val="006662A7"/>
    <w:rsid w:val="00723A3B"/>
    <w:rsid w:val="007842B2"/>
    <w:rsid w:val="007B6963"/>
    <w:rsid w:val="007E36EE"/>
    <w:rsid w:val="00814D75"/>
    <w:rsid w:val="008369B9"/>
    <w:rsid w:val="009604A5"/>
    <w:rsid w:val="00974E0E"/>
    <w:rsid w:val="00992878"/>
    <w:rsid w:val="009E2439"/>
    <w:rsid w:val="00A07EE5"/>
    <w:rsid w:val="00A20C98"/>
    <w:rsid w:val="00A26A27"/>
    <w:rsid w:val="00A6258E"/>
    <w:rsid w:val="00BA6CA3"/>
    <w:rsid w:val="00BE15C1"/>
    <w:rsid w:val="00BE3341"/>
    <w:rsid w:val="00C05849"/>
    <w:rsid w:val="00CE088C"/>
    <w:rsid w:val="00CF23B1"/>
    <w:rsid w:val="00CF5DB0"/>
    <w:rsid w:val="00D2732A"/>
    <w:rsid w:val="00D41293"/>
    <w:rsid w:val="00D470BC"/>
    <w:rsid w:val="00D817FB"/>
    <w:rsid w:val="00DA2671"/>
    <w:rsid w:val="00DD4A54"/>
    <w:rsid w:val="00E114F7"/>
    <w:rsid w:val="00EC6DF5"/>
    <w:rsid w:val="00F4512D"/>
    <w:rsid w:val="00F505D7"/>
    <w:rsid w:val="00F506E8"/>
    <w:rsid w:val="00F7322B"/>
    <w:rsid w:val="00F83650"/>
    <w:rsid w:val="00F91CE6"/>
    <w:rsid w:val="00FE3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0A9E"/>
  <w15:chartTrackingRefBased/>
  <w15:docId w15:val="{F9AF7282-83E1-4961-B4A1-8A32742B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467D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0"/>
    <w:link w:val="Nagwek3Znak"/>
    <w:qFormat/>
    <w:rsid w:val="001972C4"/>
    <w:pPr>
      <w:spacing w:beforeAutospacing="1" w:afterAutospacing="1"/>
      <w:outlineLvl w:val="2"/>
    </w:pPr>
    <w:rPr>
      <w:rFonts w:ascii="Times New Roman" w:hAnsi="Times New Roman"/>
      <w:b/>
      <w:color w:val="00000A"/>
      <w:sz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Akapit z listą BS,CW_Lista,Colorful List Accent 1,List Paragraph,Akapit z listą4,Akapit z listą1,Średnia siatka 1 — akcent 21,sw tekst,Wypunktowanie,Colorful List - Accent 11,Kolorowa lista — akcent 12"/>
    <w:basedOn w:val="Normalny"/>
    <w:link w:val="AkapitzlistZnak"/>
    <w:uiPriority w:val="34"/>
    <w:qFormat/>
    <w:rsid w:val="001972C4"/>
    <w:pPr>
      <w:ind w:left="720"/>
      <w:contextualSpacing/>
    </w:pPr>
    <w:rPr>
      <w:kern w:val="2"/>
      <w14:ligatures w14:val="standardContextual"/>
    </w:rPr>
  </w:style>
  <w:style w:type="character" w:customStyle="1" w:styleId="AkapitzlistZnak">
    <w:name w:val="Akapit z listą Znak"/>
    <w:aliases w:val="L1 Znak,Numerowanie Znak,Akapit z listą5 Znak,Akapit z listą BS Znak,CW_Lista Znak,Colorful List Accent 1 Znak,List Paragraph Znak,Akapit z listą4 Znak,Akapit z listą1 Znak,Średnia siatka 1 — akcent 21 Znak,sw tekst Znak"/>
    <w:link w:val="Akapitzlist"/>
    <w:uiPriority w:val="34"/>
    <w:qFormat/>
    <w:locked/>
    <w:rsid w:val="001972C4"/>
    <w:rPr>
      <w:kern w:val="2"/>
      <w14:ligatures w14:val="standardContextual"/>
    </w:rPr>
  </w:style>
  <w:style w:type="character" w:customStyle="1" w:styleId="Nagwek3Znak">
    <w:name w:val="Nagłówek 3 Znak"/>
    <w:basedOn w:val="Domylnaczcionkaakapitu"/>
    <w:link w:val="Nagwek3"/>
    <w:qFormat/>
    <w:rsid w:val="001972C4"/>
    <w:rPr>
      <w:rFonts w:ascii="Times New Roman" w:eastAsia="Times New Roman" w:hAnsi="Times New Roman" w:cs="Times New Roman"/>
      <w:b/>
      <w:color w:val="00000A"/>
      <w:sz w:val="27"/>
      <w:szCs w:val="20"/>
      <w:lang w:eastAsia="pl-PL"/>
    </w:rPr>
  </w:style>
  <w:style w:type="paragraph" w:customStyle="1" w:styleId="Normal0">
    <w:name w:val="Normal_0"/>
    <w:qFormat/>
    <w:rsid w:val="001972C4"/>
    <w:pPr>
      <w:suppressAutoHyphens/>
      <w:spacing w:after="0" w:line="240" w:lineRule="auto"/>
    </w:pPr>
    <w:rPr>
      <w:rFonts w:ascii="Arial" w:eastAsia="Times New Roman" w:hAnsi="Arial" w:cs="Times New Roman"/>
      <w:color w:val="000000"/>
      <w:sz w:val="24"/>
      <w:szCs w:val="20"/>
      <w:lang w:eastAsia="pl-PL"/>
    </w:rPr>
  </w:style>
  <w:style w:type="table" w:styleId="Tabela-Siatka">
    <w:name w:val="Table Grid"/>
    <w:basedOn w:val="Standardowy"/>
    <w:rsid w:val="00F83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83650"/>
    <w:rPr>
      <w:b/>
      <w:bCs/>
    </w:rPr>
  </w:style>
  <w:style w:type="paragraph" w:customStyle="1" w:styleId="v1msonormal">
    <w:name w:val="v1msonormal"/>
    <w:basedOn w:val="Normalny"/>
    <w:qFormat/>
    <w:rsid w:val="00F8365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F505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467DCF"/>
    <w:rPr>
      <w:rFonts w:asciiTheme="majorHAnsi" w:eastAsiaTheme="majorEastAsia" w:hAnsiTheme="majorHAnsi" w:cstheme="majorBidi"/>
      <w:color w:val="2F5496" w:themeColor="accent1" w:themeShade="BF"/>
      <w:sz w:val="26"/>
      <w:szCs w:val="26"/>
    </w:rPr>
  </w:style>
  <w:style w:type="paragraph" w:styleId="Nagwek">
    <w:name w:val="header"/>
    <w:basedOn w:val="Normalny"/>
    <w:link w:val="NagwekZnak"/>
    <w:uiPriority w:val="99"/>
    <w:unhideWhenUsed/>
    <w:rsid w:val="005B4F5C"/>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5B4F5C"/>
  </w:style>
  <w:style w:type="paragraph" w:styleId="Stopka">
    <w:name w:val="footer"/>
    <w:basedOn w:val="Normalny"/>
    <w:link w:val="StopkaZnak"/>
    <w:uiPriority w:val="99"/>
    <w:unhideWhenUsed/>
    <w:rsid w:val="005B4F5C"/>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5B4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770100">
      <w:bodyDiv w:val="1"/>
      <w:marLeft w:val="0"/>
      <w:marRight w:val="0"/>
      <w:marTop w:val="0"/>
      <w:marBottom w:val="0"/>
      <w:divBdr>
        <w:top w:val="none" w:sz="0" w:space="0" w:color="auto"/>
        <w:left w:val="none" w:sz="0" w:space="0" w:color="auto"/>
        <w:bottom w:val="none" w:sz="0" w:space="0" w:color="auto"/>
        <w:right w:val="none" w:sz="0" w:space="0" w:color="auto"/>
      </w:divBdr>
    </w:div>
    <w:div w:id="623929998">
      <w:bodyDiv w:val="1"/>
      <w:marLeft w:val="0"/>
      <w:marRight w:val="0"/>
      <w:marTop w:val="0"/>
      <w:marBottom w:val="0"/>
      <w:divBdr>
        <w:top w:val="none" w:sz="0" w:space="0" w:color="auto"/>
        <w:left w:val="none" w:sz="0" w:space="0" w:color="auto"/>
        <w:bottom w:val="none" w:sz="0" w:space="0" w:color="auto"/>
        <w:right w:val="none" w:sz="0" w:space="0" w:color="auto"/>
      </w:divBdr>
    </w:div>
    <w:div w:id="864516190">
      <w:bodyDiv w:val="1"/>
      <w:marLeft w:val="0"/>
      <w:marRight w:val="0"/>
      <w:marTop w:val="0"/>
      <w:marBottom w:val="0"/>
      <w:divBdr>
        <w:top w:val="none" w:sz="0" w:space="0" w:color="auto"/>
        <w:left w:val="none" w:sz="0" w:space="0" w:color="auto"/>
        <w:bottom w:val="none" w:sz="0" w:space="0" w:color="auto"/>
        <w:right w:val="none" w:sz="0" w:space="0" w:color="auto"/>
      </w:divBdr>
    </w:div>
    <w:div w:id="998965652">
      <w:bodyDiv w:val="1"/>
      <w:marLeft w:val="0"/>
      <w:marRight w:val="0"/>
      <w:marTop w:val="0"/>
      <w:marBottom w:val="0"/>
      <w:divBdr>
        <w:top w:val="none" w:sz="0" w:space="0" w:color="auto"/>
        <w:left w:val="none" w:sz="0" w:space="0" w:color="auto"/>
        <w:bottom w:val="none" w:sz="0" w:space="0" w:color="auto"/>
        <w:right w:val="none" w:sz="0" w:space="0" w:color="auto"/>
      </w:divBdr>
    </w:div>
    <w:div w:id="1059790374">
      <w:bodyDiv w:val="1"/>
      <w:marLeft w:val="0"/>
      <w:marRight w:val="0"/>
      <w:marTop w:val="0"/>
      <w:marBottom w:val="0"/>
      <w:divBdr>
        <w:top w:val="none" w:sz="0" w:space="0" w:color="auto"/>
        <w:left w:val="none" w:sz="0" w:space="0" w:color="auto"/>
        <w:bottom w:val="none" w:sz="0" w:space="0" w:color="auto"/>
        <w:right w:val="none" w:sz="0" w:space="0" w:color="auto"/>
      </w:divBdr>
    </w:div>
    <w:div w:id="1060440401">
      <w:bodyDiv w:val="1"/>
      <w:marLeft w:val="0"/>
      <w:marRight w:val="0"/>
      <w:marTop w:val="0"/>
      <w:marBottom w:val="0"/>
      <w:divBdr>
        <w:top w:val="none" w:sz="0" w:space="0" w:color="auto"/>
        <w:left w:val="none" w:sz="0" w:space="0" w:color="auto"/>
        <w:bottom w:val="none" w:sz="0" w:space="0" w:color="auto"/>
        <w:right w:val="none" w:sz="0" w:space="0" w:color="auto"/>
      </w:divBdr>
    </w:div>
    <w:div w:id="1247493884">
      <w:bodyDiv w:val="1"/>
      <w:marLeft w:val="0"/>
      <w:marRight w:val="0"/>
      <w:marTop w:val="0"/>
      <w:marBottom w:val="0"/>
      <w:divBdr>
        <w:top w:val="none" w:sz="0" w:space="0" w:color="auto"/>
        <w:left w:val="none" w:sz="0" w:space="0" w:color="auto"/>
        <w:bottom w:val="none" w:sz="0" w:space="0" w:color="auto"/>
        <w:right w:val="none" w:sz="0" w:space="0" w:color="auto"/>
      </w:divBdr>
    </w:div>
    <w:div w:id="1332951631">
      <w:bodyDiv w:val="1"/>
      <w:marLeft w:val="0"/>
      <w:marRight w:val="0"/>
      <w:marTop w:val="0"/>
      <w:marBottom w:val="0"/>
      <w:divBdr>
        <w:top w:val="none" w:sz="0" w:space="0" w:color="auto"/>
        <w:left w:val="none" w:sz="0" w:space="0" w:color="auto"/>
        <w:bottom w:val="none" w:sz="0" w:space="0" w:color="auto"/>
        <w:right w:val="none" w:sz="0" w:space="0" w:color="auto"/>
      </w:divBdr>
    </w:div>
    <w:div w:id="1417360962">
      <w:bodyDiv w:val="1"/>
      <w:marLeft w:val="0"/>
      <w:marRight w:val="0"/>
      <w:marTop w:val="0"/>
      <w:marBottom w:val="0"/>
      <w:divBdr>
        <w:top w:val="none" w:sz="0" w:space="0" w:color="auto"/>
        <w:left w:val="none" w:sz="0" w:space="0" w:color="auto"/>
        <w:bottom w:val="none" w:sz="0" w:space="0" w:color="auto"/>
        <w:right w:val="none" w:sz="0" w:space="0" w:color="auto"/>
      </w:divBdr>
    </w:div>
    <w:div w:id="1636255945">
      <w:bodyDiv w:val="1"/>
      <w:marLeft w:val="0"/>
      <w:marRight w:val="0"/>
      <w:marTop w:val="0"/>
      <w:marBottom w:val="0"/>
      <w:divBdr>
        <w:top w:val="none" w:sz="0" w:space="0" w:color="auto"/>
        <w:left w:val="none" w:sz="0" w:space="0" w:color="auto"/>
        <w:bottom w:val="none" w:sz="0" w:space="0" w:color="auto"/>
        <w:right w:val="none" w:sz="0" w:space="0" w:color="auto"/>
      </w:divBdr>
    </w:div>
    <w:div w:id="1664973105">
      <w:bodyDiv w:val="1"/>
      <w:marLeft w:val="0"/>
      <w:marRight w:val="0"/>
      <w:marTop w:val="0"/>
      <w:marBottom w:val="0"/>
      <w:divBdr>
        <w:top w:val="none" w:sz="0" w:space="0" w:color="auto"/>
        <w:left w:val="none" w:sz="0" w:space="0" w:color="auto"/>
        <w:bottom w:val="none" w:sz="0" w:space="0" w:color="auto"/>
        <w:right w:val="none" w:sz="0" w:space="0" w:color="auto"/>
      </w:divBdr>
    </w:div>
    <w:div w:id="1930388111">
      <w:bodyDiv w:val="1"/>
      <w:marLeft w:val="0"/>
      <w:marRight w:val="0"/>
      <w:marTop w:val="0"/>
      <w:marBottom w:val="0"/>
      <w:divBdr>
        <w:top w:val="none" w:sz="0" w:space="0" w:color="auto"/>
        <w:left w:val="none" w:sz="0" w:space="0" w:color="auto"/>
        <w:bottom w:val="none" w:sz="0" w:space="0" w:color="auto"/>
        <w:right w:val="none" w:sz="0" w:space="0" w:color="auto"/>
      </w:divBdr>
    </w:div>
    <w:div w:id="212723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ZalacznikA04D6386-5969-46E2-8DFB-D1DDB08B11FE.png" TargetMode="External"/><Relationship Id="rId26" Type="http://schemas.openxmlformats.org/officeDocument/2006/relationships/image" Target="ZalacznikBAF2C6C5-CF01-479E-9AAB-002066AA75A8.png" TargetMode="External"/><Relationship Id="rId3" Type="http://schemas.openxmlformats.org/officeDocument/2006/relationships/settings" Target="settings.xml"/><Relationship Id="rId21" Type="http://schemas.openxmlformats.org/officeDocument/2006/relationships/image" Target="ZalacznikDFFB6C73-6DE7-4352-8F02-B2B8C92B2709.p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ZalacznikAFF213A1-D4B0-4FC2-840B-F4891A03030E.pn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ZalacznikA32008E9-9236-453D-BA4A-870F49A91AD0.pn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Zalacznik2CFD3E3F-DD90-44FD-9DD4-5B8D8F63D89F.pn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Zalacznik26895670-DF7D-4117-893F-50CD0895F585.png"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Zalacznik1152847E-7868-40F3-83D3-26C7F23C8F2C.p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Zalacznik8734D4F4-B866-4E44-B70F-C59E3217078B.png" TargetMode="External"/><Relationship Id="rId27" Type="http://schemas.openxmlformats.org/officeDocument/2006/relationships/image" Target="Zalacznik5CD584DA-51C4-4F60-A5EC-70E866D2536E.png"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4833</Words>
  <Characters>29002</Characters>
  <Application>Microsoft Office Word</Application>
  <DocSecurity>0</DocSecurity>
  <Lines>241</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Owczarek</dc:creator>
  <cp:keywords/>
  <dc:description/>
  <cp:lastModifiedBy>Katarzyna Owczarek</cp:lastModifiedBy>
  <cp:revision>2</cp:revision>
  <cp:lastPrinted>2024-03-18T08:14:00Z</cp:lastPrinted>
  <dcterms:created xsi:type="dcterms:W3CDTF">2024-10-18T17:03:00Z</dcterms:created>
  <dcterms:modified xsi:type="dcterms:W3CDTF">2024-10-18T17:03:00Z</dcterms:modified>
</cp:coreProperties>
</file>